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2967" w14:textId="7392A359" w:rsidR="003D3F40" w:rsidRDefault="003D3F40" w:rsidP="00E23FC3">
      <w:pPr>
        <w:ind w:right="-589" w:hanging="851"/>
        <w:rPr>
          <w:b/>
          <w:color w:val="4F6228" w:themeColor="accent3" w:themeShade="80"/>
          <w:sz w:val="24"/>
          <w:szCs w:val="24"/>
          <w:highlight w:val="lightGray"/>
        </w:rPr>
      </w:pPr>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5033E925" w14:textId="21BB09D6" w:rsidR="00A96EF2" w:rsidRDefault="00A96EF2" w:rsidP="00DE45AD">
            <w:pPr>
              <w:spacing w:after="60"/>
              <w:ind w:right="-589" w:firstLine="34"/>
              <w:rPr>
                <w:b/>
                <w:color w:val="4F6228" w:themeColor="accent3" w:themeShade="80"/>
                <w:sz w:val="24"/>
                <w:szCs w:val="24"/>
              </w:rPr>
            </w:pPr>
            <w:r>
              <w:rPr>
                <w:b/>
                <w:color w:val="4F6228" w:themeColor="accent3" w:themeShade="80"/>
                <w:sz w:val="24"/>
                <w:szCs w:val="24"/>
              </w:rPr>
              <w:t>Niddrie Primary School</w:t>
            </w:r>
          </w:p>
          <w:p w14:paraId="1F7527F7" w14:textId="09C81C00" w:rsidR="00A96EF2" w:rsidRDefault="00A96EF2" w:rsidP="00DE45AD">
            <w:pPr>
              <w:spacing w:after="60"/>
              <w:ind w:right="-589" w:firstLine="34"/>
              <w:rPr>
                <w:b/>
                <w:color w:val="4F6228" w:themeColor="accent3" w:themeShade="80"/>
                <w:sz w:val="24"/>
                <w:szCs w:val="24"/>
              </w:rPr>
            </w:pPr>
            <w:r>
              <w:rPr>
                <w:b/>
                <w:color w:val="4F6228" w:themeColor="accent3" w:themeShade="80"/>
                <w:sz w:val="24"/>
                <w:szCs w:val="24"/>
              </w:rPr>
              <w:t>Number 5410</w:t>
            </w:r>
          </w:p>
          <w:p w14:paraId="5D43C9B5" w14:textId="2CA98C81" w:rsidR="0001550E" w:rsidRDefault="00A96EF2" w:rsidP="00DE45AD">
            <w:pPr>
              <w:spacing w:after="60"/>
              <w:ind w:right="-589" w:firstLine="34"/>
              <w:rPr>
                <w:b/>
                <w:color w:val="4F6228" w:themeColor="accent3" w:themeShade="80"/>
                <w:sz w:val="28"/>
                <w:szCs w:val="28"/>
              </w:rPr>
            </w:pPr>
            <w:r>
              <w:rPr>
                <w:b/>
                <w:color w:val="4F6228" w:themeColor="accent3" w:themeShade="80"/>
                <w:sz w:val="28"/>
                <w:szCs w:val="28"/>
              </w:rPr>
              <w:t>Strategic Plan 2018</w:t>
            </w:r>
            <w:r w:rsidR="0001550E">
              <w:rPr>
                <w:b/>
                <w:color w:val="4F6228" w:themeColor="accent3" w:themeShade="80"/>
                <w:sz w:val="28"/>
                <w:szCs w:val="28"/>
              </w:rPr>
              <w:t>-</w:t>
            </w:r>
            <w:r w:rsidR="0001550E" w:rsidRPr="00CC615B">
              <w:rPr>
                <w:b/>
                <w:color w:val="4F6228" w:themeColor="accent3" w:themeShade="80"/>
                <w:sz w:val="28"/>
                <w:szCs w:val="28"/>
              </w:rPr>
              <w:t>20</w:t>
            </w:r>
            <w:r>
              <w:rPr>
                <w:b/>
                <w:color w:val="4F6228" w:themeColor="accent3" w:themeShade="80"/>
                <w:sz w:val="28"/>
                <w:szCs w:val="28"/>
              </w:rPr>
              <w:t>21</w:t>
            </w:r>
          </w:p>
          <w:p w14:paraId="48DA07FE" w14:textId="456D2602" w:rsidR="00DE45AD" w:rsidRPr="00DE45AD" w:rsidRDefault="00DE45AD" w:rsidP="003D3F40">
            <w:pPr>
              <w:ind w:right="-589" w:firstLine="34"/>
              <w:rPr>
                <w:b/>
                <w:i/>
                <w:color w:val="FF0000"/>
                <w:szCs w:val="28"/>
              </w:rPr>
            </w:pPr>
            <w:r>
              <w:rPr>
                <w:b/>
                <w:i/>
                <w:color w:val="FF0000"/>
                <w:szCs w:val="28"/>
              </w:rPr>
              <w:t>F</w:t>
            </w:r>
            <w:r w:rsidRPr="00DE45AD">
              <w:rPr>
                <w:b/>
                <w:i/>
                <w:color w:val="FF0000"/>
                <w:szCs w:val="28"/>
              </w:rPr>
              <w:t>or schools in the 2016 review cycle,</w:t>
            </w:r>
            <w:r w:rsidR="00C53249">
              <w:rPr>
                <w:b/>
                <w:i/>
                <w:color w:val="FF0000"/>
                <w:szCs w:val="28"/>
              </w:rPr>
              <w:t xml:space="preserve"> the</w:t>
            </w:r>
            <w:r w:rsidRPr="00DE45AD">
              <w:rPr>
                <w:b/>
                <w:i/>
                <w:color w:val="FF0000"/>
                <w:szCs w:val="28"/>
              </w:rPr>
              <w:t xml:space="preserve"> SSP must finish in </w:t>
            </w:r>
          </w:p>
          <w:p w14:paraId="78F90D7F" w14:textId="60F67A58" w:rsidR="00DE45AD" w:rsidRPr="00DE45AD" w:rsidRDefault="00DE45AD" w:rsidP="003D3F40">
            <w:pPr>
              <w:ind w:right="-589" w:firstLine="34"/>
              <w:rPr>
                <w:b/>
                <w:i/>
                <w:color w:val="FF0000"/>
                <w:szCs w:val="28"/>
              </w:rPr>
            </w:pPr>
            <w:r w:rsidRPr="00DE45AD">
              <w:rPr>
                <w:b/>
                <w:i/>
                <w:color w:val="FF0000"/>
                <w:szCs w:val="28"/>
              </w:rPr>
              <w:t xml:space="preserve">2020. School in </w:t>
            </w:r>
            <w:r>
              <w:rPr>
                <w:b/>
                <w:i/>
                <w:color w:val="FF0000"/>
                <w:szCs w:val="28"/>
              </w:rPr>
              <w:t xml:space="preserve">the </w:t>
            </w:r>
            <w:r w:rsidRPr="00DE45AD">
              <w:rPr>
                <w:b/>
                <w:i/>
                <w:color w:val="FF0000"/>
                <w:szCs w:val="28"/>
              </w:rPr>
              <w:t xml:space="preserve">2017 </w:t>
            </w:r>
            <w:r w:rsidR="00C53249">
              <w:rPr>
                <w:b/>
                <w:i/>
                <w:color w:val="FF0000"/>
                <w:szCs w:val="28"/>
              </w:rPr>
              <w:t xml:space="preserve">review </w:t>
            </w:r>
            <w:r w:rsidRPr="00DE45AD">
              <w:rPr>
                <w:b/>
                <w:i/>
                <w:color w:val="FF0000"/>
                <w:szCs w:val="28"/>
              </w:rPr>
              <w:t>cycle will finish in 2021</w:t>
            </w:r>
            <w:r>
              <w:rPr>
                <w:b/>
                <w:i/>
                <w:color w:val="FF0000"/>
                <w:szCs w:val="28"/>
              </w:rPr>
              <w:t>.</w:t>
            </w:r>
          </w:p>
          <w:p w14:paraId="5443513F" w14:textId="5784376E" w:rsidR="0001550E" w:rsidRDefault="0001550E" w:rsidP="00E23FC3">
            <w:pPr>
              <w:ind w:right="-589"/>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1E2BD538"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Pr="00300E45">
              <w:rPr>
                <w:sz w:val="18"/>
                <w:szCs w:val="18"/>
              </w:rPr>
              <w:tab/>
            </w:r>
            <w:r>
              <w:rPr>
                <w:sz w:val="18"/>
                <w:szCs w:val="18"/>
              </w:rPr>
              <w:tab/>
            </w:r>
            <w:r w:rsidR="00A96EF2">
              <w:rPr>
                <w:sz w:val="18"/>
                <w:szCs w:val="18"/>
              </w:rPr>
              <w:t>Greg Peters</w:t>
            </w:r>
            <w:r w:rsidRPr="009C1955">
              <w:rPr>
                <w:sz w:val="18"/>
                <w:szCs w:val="18"/>
              </w:rPr>
              <w:tab/>
            </w:r>
            <w:r w:rsidRPr="00907788">
              <w:rPr>
                <w:sz w:val="18"/>
                <w:szCs w:val="18"/>
                <w:highlight w:val="lightGray"/>
              </w:rPr>
              <w:t>[date]</w:t>
            </w:r>
          </w:p>
          <w:p w14:paraId="3DD0DA91" w14:textId="673E9939"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Pr>
                <w:sz w:val="18"/>
                <w:szCs w:val="18"/>
              </w:rPr>
              <w:tab/>
            </w:r>
            <w:r>
              <w:rPr>
                <w:sz w:val="18"/>
                <w:szCs w:val="18"/>
              </w:rPr>
              <w:tab/>
            </w:r>
            <w:r w:rsidR="00A96EF2">
              <w:rPr>
                <w:sz w:val="18"/>
                <w:szCs w:val="18"/>
              </w:rPr>
              <w:t xml:space="preserve">Cory </w:t>
            </w:r>
            <w:proofErr w:type="spellStart"/>
            <w:r w:rsidR="00A96EF2">
              <w:rPr>
                <w:sz w:val="18"/>
                <w:szCs w:val="18"/>
              </w:rPr>
              <w:t>Prout</w:t>
            </w:r>
            <w:proofErr w:type="spellEnd"/>
            <w:r>
              <w:rPr>
                <w:sz w:val="18"/>
                <w:szCs w:val="18"/>
              </w:rPr>
              <w:tab/>
            </w:r>
            <w:r w:rsidRPr="00907788">
              <w:rPr>
                <w:sz w:val="18"/>
                <w:szCs w:val="18"/>
                <w:highlight w:val="lightGray"/>
              </w:rPr>
              <w:t>[date]</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62C4983B" w:rsidR="0001550E" w:rsidRDefault="0001550E" w:rsidP="00A96EF2">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Pr>
                <w:sz w:val="18"/>
                <w:szCs w:val="18"/>
              </w:rPr>
              <w:tab/>
            </w:r>
            <w:r>
              <w:rPr>
                <w:sz w:val="18"/>
                <w:szCs w:val="18"/>
              </w:rPr>
              <w:tab/>
            </w:r>
            <w:r w:rsidR="00A96EF2">
              <w:rPr>
                <w:sz w:val="18"/>
                <w:szCs w:val="18"/>
              </w:rPr>
              <w:t>Mona Malouf</w:t>
            </w:r>
            <w:r>
              <w:rPr>
                <w:sz w:val="18"/>
                <w:szCs w:val="18"/>
              </w:rPr>
              <w:tab/>
            </w:r>
            <w:r w:rsidRPr="00907788">
              <w:rPr>
                <w:sz w:val="18"/>
                <w:szCs w:val="18"/>
                <w:highlight w:val="lightGray"/>
              </w:rPr>
              <w:t>[date]</w:t>
            </w:r>
            <w:r>
              <w:rPr>
                <w:sz w:val="18"/>
                <w:szCs w:val="18"/>
              </w:rPr>
              <w:t xml:space="preserve">   </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38F570DA"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14:paraId="6C64BF12" w14:textId="77777777" w:rsidTr="00367C8D">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14:paraId="54238858" w14:textId="5086219D"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0C8A6E59" w:rsidR="00B85BE6" w:rsidRPr="00907788" w:rsidRDefault="006569E2" w:rsidP="00B85BE6">
            <w:pPr>
              <w:spacing w:before="120"/>
              <w:rPr>
                <w:b/>
                <w:sz w:val="18"/>
                <w:szCs w:val="18"/>
              </w:rPr>
            </w:pPr>
            <w:r>
              <w:rPr>
                <w:b/>
                <w:sz w:val="18"/>
                <w:szCs w:val="18"/>
              </w:rPr>
              <w:t>Context and challenges</w:t>
            </w:r>
          </w:p>
          <w:p w14:paraId="3466307B" w14:textId="1BFAAC63"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367C8D">
        <w:trPr>
          <w:trHeight w:val="220"/>
        </w:trPr>
        <w:tc>
          <w:tcPr>
            <w:tcW w:w="3686" w:type="dxa"/>
            <w:vMerge w:val="restart"/>
          </w:tcPr>
          <w:p w14:paraId="0FDF8879" w14:textId="77777777" w:rsidR="00A96EF2" w:rsidRDefault="00A96EF2" w:rsidP="00A96EF2">
            <w:pPr>
              <w:pStyle w:val="Table-RowHeading"/>
              <w:spacing w:after="90" w:line="220" w:lineRule="atLeast"/>
              <w:jc w:val="both"/>
              <w:rPr>
                <w:rFonts w:asciiTheme="minorHAnsi" w:hAnsiTheme="minorHAnsi"/>
                <w:color w:val="auto"/>
                <w:sz w:val="24"/>
                <w:szCs w:val="24"/>
              </w:rPr>
            </w:pPr>
            <w:r w:rsidRPr="00D01ECF">
              <w:rPr>
                <w:rFonts w:asciiTheme="minorHAnsi" w:hAnsiTheme="minorHAnsi"/>
                <w:color w:val="auto"/>
                <w:sz w:val="24"/>
                <w:szCs w:val="24"/>
              </w:rPr>
              <w:t>Niddrie Primary School aims to maximise individual potential, to develop learning skills and attitudes and to give each child the opportunity to become a worthwhile and happy member of society.  The school is committed to providing a safe and secure environment in which learning can be enjoyable, while at the same time ensuring that all children can achieve success.</w:t>
            </w:r>
          </w:p>
          <w:p w14:paraId="70030B19" w14:textId="38181B63" w:rsidR="00B85BE6" w:rsidRPr="008A7EAA" w:rsidRDefault="00B85BE6" w:rsidP="00B85BE6">
            <w:pPr>
              <w:rPr>
                <w:sz w:val="18"/>
                <w:szCs w:val="18"/>
              </w:rPr>
            </w:pPr>
          </w:p>
          <w:p w14:paraId="3FCDBE23" w14:textId="77777777" w:rsidR="00B85BE6" w:rsidRPr="008A7EAA" w:rsidRDefault="00B85BE6" w:rsidP="00B85BE6">
            <w:pPr>
              <w:rPr>
                <w:sz w:val="18"/>
                <w:szCs w:val="18"/>
              </w:rPr>
            </w:pPr>
          </w:p>
          <w:p w14:paraId="53040886" w14:textId="77777777" w:rsidR="00B85BE6" w:rsidRDefault="00B85BE6" w:rsidP="00B85BE6">
            <w:pPr>
              <w:rPr>
                <w:sz w:val="18"/>
                <w:szCs w:val="18"/>
              </w:rPr>
            </w:pPr>
          </w:p>
          <w:p w14:paraId="5CC7E547" w14:textId="77777777" w:rsidR="00B85BE6" w:rsidRDefault="00B85BE6" w:rsidP="00B85BE6">
            <w:pPr>
              <w:rPr>
                <w:b/>
                <w:sz w:val="18"/>
                <w:szCs w:val="18"/>
              </w:rPr>
            </w:pPr>
          </w:p>
          <w:p w14:paraId="7BB3C482" w14:textId="77777777" w:rsidR="00B85BE6" w:rsidRDefault="00B85BE6" w:rsidP="00B85BE6">
            <w:pPr>
              <w:rPr>
                <w:sz w:val="18"/>
                <w:szCs w:val="18"/>
                <w:highlight w:val="lightGray"/>
              </w:rPr>
            </w:pPr>
          </w:p>
        </w:tc>
        <w:tc>
          <w:tcPr>
            <w:tcW w:w="4678" w:type="dxa"/>
            <w:vMerge w:val="restart"/>
          </w:tcPr>
          <w:p w14:paraId="28DC8710" w14:textId="77777777" w:rsidR="00152392" w:rsidRPr="00C91105" w:rsidRDefault="00152392" w:rsidP="00152392">
            <w:pPr>
              <w:pStyle w:val="NoSpacing"/>
              <w:rPr>
                <w:rFonts w:asciiTheme="minorHAnsi" w:hAnsiTheme="minorHAnsi" w:cstheme="minorHAnsi"/>
                <w:b/>
                <w:sz w:val="22"/>
                <w:szCs w:val="22"/>
              </w:rPr>
            </w:pPr>
            <w:r w:rsidRPr="00C91105">
              <w:rPr>
                <w:rFonts w:asciiTheme="minorHAnsi" w:hAnsiTheme="minorHAnsi" w:cstheme="minorHAnsi"/>
                <w:b/>
                <w:sz w:val="22"/>
                <w:szCs w:val="22"/>
              </w:rPr>
              <w:t>Respect:</w:t>
            </w:r>
          </w:p>
          <w:p w14:paraId="2F362F9B" w14:textId="77777777" w:rsidR="00152392" w:rsidRPr="00C91105" w:rsidRDefault="00152392" w:rsidP="00152392">
            <w:pPr>
              <w:pStyle w:val="NoSpacing"/>
              <w:rPr>
                <w:rFonts w:asciiTheme="minorHAnsi" w:hAnsiTheme="minorHAnsi" w:cstheme="minorHAnsi"/>
                <w:sz w:val="22"/>
                <w:szCs w:val="22"/>
              </w:rPr>
            </w:pPr>
            <w:r w:rsidRPr="00C91105">
              <w:rPr>
                <w:rFonts w:asciiTheme="minorHAnsi" w:hAnsiTheme="minorHAnsi" w:cstheme="minorHAnsi"/>
                <w:sz w:val="22"/>
                <w:szCs w:val="22"/>
              </w:rPr>
              <w:t>We treat others as we would like to be treated ourselves.</w:t>
            </w:r>
          </w:p>
          <w:p w14:paraId="4CCD0907" w14:textId="77777777" w:rsidR="00152392" w:rsidRPr="00C91105" w:rsidRDefault="00152392" w:rsidP="00152392">
            <w:pPr>
              <w:pStyle w:val="NoSpacing"/>
              <w:rPr>
                <w:rFonts w:asciiTheme="minorHAnsi" w:hAnsiTheme="minorHAnsi" w:cstheme="minorHAnsi"/>
                <w:sz w:val="22"/>
                <w:szCs w:val="22"/>
              </w:rPr>
            </w:pPr>
            <w:r w:rsidRPr="00C91105">
              <w:rPr>
                <w:rFonts w:asciiTheme="minorHAnsi" w:hAnsiTheme="minorHAnsi" w:cstheme="minorHAnsi"/>
                <w:sz w:val="22"/>
                <w:szCs w:val="22"/>
              </w:rPr>
              <w:t>We value the differences in others.</w:t>
            </w:r>
          </w:p>
          <w:p w14:paraId="70E02276" w14:textId="77777777" w:rsidR="00152392" w:rsidRPr="00C91105" w:rsidRDefault="00152392" w:rsidP="00152392">
            <w:pPr>
              <w:pStyle w:val="NoSpacing"/>
              <w:rPr>
                <w:rFonts w:asciiTheme="minorHAnsi" w:hAnsiTheme="minorHAnsi" w:cstheme="minorHAnsi"/>
                <w:sz w:val="22"/>
                <w:szCs w:val="22"/>
              </w:rPr>
            </w:pPr>
            <w:r w:rsidRPr="00C91105">
              <w:rPr>
                <w:rFonts w:asciiTheme="minorHAnsi" w:hAnsiTheme="minorHAnsi" w:cstheme="minorHAnsi"/>
                <w:sz w:val="22"/>
                <w:szCs w:val="22"/>
              </w:rPr>
              <w:t>We take care of our world and make a positive impact on the environment.</w:t>
            </w:r>
          </w:p>
          <w:p w14:paraId="61970FA9" w14:textId="77777777" w:rsidR="00152392" w:rsidRPr="00C91105" w:rsidRDefault="00152392" w:rsidP="00152392">
            <w:pPr>
              <w:pStyle w:val="NoSpacing"/>
              <w:rPr>
                <w:rFonts w:asciiTheme="minorHAnsi" w:hAnsiTheme="minorHAnsi" w:cstheme="minorHAnsi"/>
                <w:sz w:val="22"/>
                <w:szCs w:val="22"/>
              </w:rPr>
            </w:pPr>
          </w:p>
          <w:p w14:paraId="7B40BDE7" w14:textId="77777777" w:rsidR="00152392" w:rsidRPr="00C91105" w:rsidRDefault="00152392" w:rsidP="00152392">
            <w:pPr>
              <w:pStyle w:val="NoSpacing"/>
              <w:rPr>
                <w:rFonts w:asciiTheme="minorHAnsi" w:hAnsiTheme="minorHAnsi" w:cstheme="minorHAnsi"/>
                <w:b/>
                <w:sz w:val="22"/>
                <w:szCs w:val="22"/>
              </w:rPr>
            </w:pPr>
            <w:r w:rsidRPr="00C91105">
              <w:rPr>
                <w:rFonts w:asciiTheme="minorHAnsi" w:hAnsiTheme="minorHAnsi" w:cstheme="minorHAnsi"/>
                <w:b/>
                <w:sz w:val="22"/>
                <w:szCs w:val="22"/>
              </w:rPr>
              <w:t>Resilience:</w:t>
            </w:r>
          </w:p>
          <w:p w14:paraId="7DC23C41" w14:textId="77777777" w:rsidR="00152392" w:rsidRPr="00C91105" w:rsidRDefault="00152392" w:rsidP="00152392">
            <w:pPr>
              <w:pStyle w:val="NoSpacing"/>
              <w:rPr>
                <w:rFonts w:asciiTheme="minorHAnsi" w:hAnsiTheme="minorHAnsi" w:cstheme="minorHAnsi"/>
                <w:sz w:val="22"/>
                <w:szCs w:val="22"/>
              </w:rPr>
            </w:pPr>
            <w:r w:rsidRPr="00C91105">
              <w:rPr>
                <w:rFonts w:asciiTheme="minorHAnsi" w:hAnsiTheme="minorHAnsi" w:cstheme="minorHAnsi"/>
                <w:sz w:val="22"/>
                <w:szCs w:val="22"/>
              </w:rPr>
              <w:t>We bounce back when things don’t go our way or when things get tough.</w:t>
            </w:r>
          </w:p>
          <w:p w14:paraId="1F8E74D7" w14:textId="77777777" w:rsidR="00152392" w:rsidRPr="00C91105" w:rsidRDefault="00152392" w:rsidP="00152392">
            <w:pPr>
              <w:pStyle w:val="NoSpacing"/>
              <w:rPr>
                <w:rFonts w:asciiTheme="minorHAnsi" w:hAnsiTheme="minorHAnsi" w:cstheme="minorHAnsi"/>
                <w:sz w:val="22"/>
                <w:szCs w:val="22"/>
              </w:rPr>
            </w:pPr>
            <w:r w:rsidRPr="00C91105">
              <w:rPr>
                <w:rFonts w:asciiTheme="minorHAnsi" w:hAnsiTheme="minorHAnsi" w:cstheme="minorHAnsi"/>
                <w:sz w:val="22"/>
                <w:szCs w:val="22"/>
              </w:rPr>
              <w:t>We stay positive in all situations and have the courage to stand up for what we believe in.</w:t>
            </w:r>
          </w:p>
          <w:p w14:paraId="37250CE2" w14:textId="77777777" w:rsidR="00152392" w:rsidRPr="00C91105" w:rsidRDefault="00152392" w:rsidP="00152392">
            <w:pPr>
              <w:pStyle w:val="NoSpacing"/>
              <w:rPr>
                <w:rFonts w:asciiTheme="minorHAnsi" w:hAnsiTheme="minorHAnsi" w:cstheme="minorHAnsi"/>
                <w:sz w:val="22"/>
                <w:szCs w:val="22"/>
              </w:rPr>
            </w:pPr>
            <w:r w:rsidRPr="00C91105">
              <w:rPr>
                <w:rFonts w:asciiTheme="minorHAnsi" w:hAnsiTheme="minorHAnsi" w:cstheme="minorHAnsi"/>
                <w:sz w:val="22"/>
                <w:szCs w:val="22"/>
              </w:rPr>
              <w:t>We don’t give in.</w:t>
            </w:r>
          </w:p>
          <w:p w14:paraId="05B2E5CD" w14:textId="67DCCD58" w:rsidR="00152392" w:rsidRPr="00C91105" w:rsidRDefault="00152392" w:rsidP="00152392">
            <w:pPr>
              <w:pStyle w:val="NoSpacing"/>
              <w:rPr>
                <w:rFonts w:asciiTheme="minorHAnsi" w:hAnsiTheme="minorHAnsi" w:cstheme="minorHAnsi"/>
                <w:sz w:val="22"/>
                <w:szCs w:val="22"/>
              </w:rPr>
            </w:pPr>
          </w:p>
          <w:p w14:paraId="3B26AA36" w14:textId="77777777" w:rsidR="00152392" w:rsidRPr="00C91105" w:rsidRDefault="00152392" w:rsidP="00152392">
            <w:pPr>
              <w:rPr>
                <w:rFonts w:cstheme="minorHAnsi"/>
                <w:b/>
              </w:rPr>
            </w:pPr>
            <w:r w:rsidRPr="00C91105">
              <w:rPr>
                <w:rFonts w:cstheme="minorHAnsi"/>
                <w:b/>
              </w:rPr>
              <w:t>Learning:</w:t>
            </w:r>
          </w:p>
          <w:p w14:paraId="555CB10F" w14:textId="77777777" w:rsidR="00152392" w:rsidRPr="00C91105" w:rsidRDefault="00152392" w:rsidP="00152392">
            <w:pPr>
              <w:rPr>
                <w:rFonts w:cstheme="minorHAnsi"/>
              </w:rPr>
            </w:pPr>
            <w:r w:rsidRPr="00C91105">
              <w:rPr>
                <w:rFonts w:cstheme="minorHAnsi"/>
              </w:rPr>
              <w:t>I always do my best.</w:t>
            </w:r>
          </w:p>
          <w:p w14:paraId="60016550" w14:textId="77777777" w:rsidR="00152392" w:rsidRPr="00C91105" w:rsidRDefault="00152392" w:rsidP="00152392">
            <w:pPr>
              <w:rPr>
                <w:rFonts w:cstheme="minorHAnsi"/>
              </w:rPr>
            </w:pPr>
            <w:r w:rsidRPr="00C91105">
              <w:rPr>
                <w:rFonts w:cstheme="minorHAnsi"/>
              </w:rPr>
              <w:t>I have a go and I’m prepared to take risks.</w:t>
            </w:r>
          </w:p>
          <w:p w14:paraId="3098983D" w14:textId="77777777" w:rsidR="00152392" w:rsidRPr="00C91105" w:rsidRDefault="00152392" w:rsidP="00152392">
            <w:pPr>
              <w:rPr>
                <w:rFonts w:cstheme="minorHAnsi"/>
              </w:rPr>
            </w:pPr>
            <w:r w:rsidRPr="00C91105">
              <w:rPr>
                <w:rFonts w:cstheme="minorHAnsi"/>
              </w:rPr>
              <w:t>I set goals and reflect on my learning.</w:t>
            </w:r>
          </w:p>
          <w:p w14:paraId="69151E65" w14:textId="77777777" w:rsidR="00152392" w:rsidRPr="00C91105" w:rsidRDefault="00152392" w:rsidP="00152392">
            <w:pPr>
              <w:rPr>
                <w:rFonts w:cstheme="minorHAnsi"/>
              </w:rPr>
            </w:pPr>
            <w:r w:rsidRPr="00C91105">
              <w:rPr>
                <w:rFonts w:cstheme="minorHAnsi"/>
              </w:rPr>
              <w:t>I share my learning with others.</w:t>
            </w:r>
          </w:p>
          <w:p w14:paraId="6A3BF868" w14:textId="77777777" w:rsidR="00152392" w:rsidRPr="00C91105" w:rsidRDefault="00152392" w:rsidP="00152392">
            <w:pPr>
              <w:pStyle w:val="NoSpacing"/>
              <w:rPr>
                <w:rFonts w:asciiTheme="minorHAnsi" w:hAnsiTheme="minorHAnsi" w:cstheme="minorHAnsi"/>
                <w:sz w:val="22"/>
                <w:szCs w:val="22"/>
              </w:rPr>
            </w:pPr>
            <w:r w:rsidRPr="00C91105">
              <w:rPr>
                <w:rFonts w:asciiTheme="minorHAnsi" w:hAnsiTheme="minorHAnsi" w:cstheme="minorHAnsi"/>
                <w:sz w:val="22"/>
                <w:szCs w:val="22"/>
              </w:rPr>
              <w:t>I am always prepared to learn.</w:t>
            </w:r>
          </w:p>
          <w:p w14:paraId="73769C33" w14:textId="77777777" w:rsidR="00B85BE6" w:rsidRPr="00671367" w:rsidRDefault="00B85BE6" w:rsidP="00B85BE6">
            <w:pPr>
              <w:rPr>
                <w:sz w:val="18"/>
                <w:szCs w:val="18"/>
              </w:rPr>
            </w:pPr>
          </w:p>
          <w:p w14:paraId="6E218D19" w14:textId="77777777" w:rsidR="00B85BE6" w:rsidRPr="00671367" w:rsidRDefault="00B85BE6" w:rsidP="00B85BE6">
            <w:pPr>
              <w:rPr>
                <w:sz w:val="18"/>
                <w:szCs w:val="18"/>
              </w:rPr>
            </w:pPr>
          </w:p>
          <w:p w14:paraId="154A1D91" w14:textId="49FAF662" w:rsidR="00B85BE6" w:rsidRPr="00671367" w:rsidRDefault="00B85BE6" w:rsidP="00B85BE6">
            <w:pPr>
              <w:rPr>
                <w:sz w:val="16"/>
                <w:szCs w:val="16"/>
              </w:rPr>
            </w:pPr>
          </w:p>
        </w:tc>
        <w:tc>
          <w:tcPr>
            <w:tcW w:w="6946" w:type="dxa"/>
            <w:vMerge w:val="restart"/>
          </w:tcPr>
          <w:p w14:paraId="74E6EBD0" w14:textId="77777777" w:rsidR="00564E7E" w:rsidRPr="00C91105" w:rsidRDefault="00564E7E" w:rsidP="00564E7E">
            <w:pPr>
              <w:jc w:val="both"/>
            </w:pPr>
            <w:r w:rsidRPr="00C91105">
              <w:t>Niddrie Primary School, established in 1961, is situated in the suburb of Niddrie, 13 kilometres north-west of the Melbourne CBD. The 2017 enrolment of 281 students was drawn primarily from the surrounding areas of Niddrie and Airport West, with some attending the school from further afield. An increasing number of students is being drawn from outside the traditional catchment area. The school population reflects the characteristics of the local community with some diversity of socio – economic and cultural backgrounds.</w:t>
            </w:r>
          </w:p>
          <w:p w14:paraId="59F16E97" w14:textId="77777777" w:rsidR="00564E7E" w:rsidRPr="00C91105" w:rsidRDefault="00564E7E" w:rsidP="00564E7E">
            <w:pPr>
              <w:jc w:val="both"/>
            </w:pPr>
            <w:r w:rsidRPr="00C91105">
              <w:t>School facilities feature a range of learning spaces and safe play areas. Rooms include 13 teaching spaces with specialist Art and Science integrated into the school buildings. Three outdoor spaces include a mix of artificial turf, playgrounds and landscaped gardens. Most recently, an alcove area was artificially turfed and surroundings landscaped, providing a retreat space for children requiring a quieter area for individual activities or to engage with others.</w:t>
            </w:r>
          </w:p>
          <w:p w14:paraId="1E2C8394" w14:textId="77777777" w:rsidR="00564E7E" w:rsidRPr="00C91105" w:rsidRDefault="00564E7E" w:rsidP="00564E7E">
            <w:pPr>
              <w:jc w:val="both"/>
            </w:pPr>
            <w:r w:rsidRPr="00C91105">
              <w:t>The 2017 staffing profile consisted of 13 full-time</w:t>
            </w:r>
            <w:r w:rsidRPr="00C91105">
              <w:rPr>
                <w:i/>
              </w:rPr>
              <w:t xml:space="preserve"> </w:t>
            </w:r>
            <w:r w:rsidRPr="00C91105">
              <w:t>staff and eight part-time teaching staff, two Principal Class and five educational support staff members including an Office Manager.</w:t>
            </w:r>
          </w:p>
          <w:p w14:paraId="458F4F36" w14:textId="3E1FB274" w:rsidR="00C91105" w:rsidRPr="00C91105" w:rsidRDefault="00564E7E" w:rsidP="00C91105">
            <w:pPr>
              <w:jc w:val="both"/>
            </w:pPr>
            <w:r w:rsidRPr="00C91105">
              <w:t>The school’s curriculum framework incorporated the eight learning areas required by the Education and Training Reform Act 2006 aligned with the new Victorian Curriculum. In addition, a range of extra curriculum and other opportunities was provided to students. These included specialist programs in Visual Arts, Physical Education, L.O.T.E – Italian, Science and Performing Arts. Complementary programs include the National Wakakirri Story-Dance Festival and an annual Christmas Concert provide opportunities for all students to perform on stage, a camping program and teams of Grade 5 and 6 students participating in the RACV Energy Breakthrough Challenge involving the use of Human Powered Vehicles.</w:t>
            </w:r>
          </w:p>
          <w:tbl>
            <w:tblPr>
              <w:tblW w:w="0" w:type="auto"/>
              <w:tblBorders>
                <w:top w:val="nil"/>
                <w:left w:val="nil"/>
                <w:bottom w:val="nil"/>
                <w:right w:val="nil"/>
              </w:tblBorders>
              <w:tblLook w:val="0000" w:firstRow="0" w:lastRow="0" w:firstColumn="0" w:lastColumn="0" w:noHBand="0" w:noVBand="0"/>
            </w:tblPr>
            <w:tblGrid>
              <w:gridCol w:w="6730"/>
            </w:tblGrid>
            <w:tr w:rsidR="00C91105" w:rsidRPr="00C91105" w14:paraId="11CC931F" w14:textId="77777777">
              <w:trPr>
                <w:trHeight w:val="1162"/>
              </w:trPr>
              <w:tc>
                <w:tcPr>
                  <w:tcW w:w="0" w:type="auto"/>
                </w:tcPr>
                <w:p w14:paraId="556FF4FB" w14:textId="77777777" w:rsidR="00C91105" w:rsidRDefault="00C91105" w:rsidP="00C91105">
                  <w:pPr>
                    <w:pStyle w:val="Default"/>
                    <w:ind w:hanging="48"/>
                    <w:rPr>
                      <w:rFonts w:asciiTheme="minorHAnsi" w:hAnsiTheme="minorHAnsi" w:cstheme="minorHAnsi"/>
                      <w:b/>
                      <w:bCs/>
                      <w:sz w:val="22"/>
                      <w:szCs w:val="22"/>
                    </w:rPr>
                  </w:pPr>
                </w:p>
                <w:p w14:paraId="25DE9446" w14:textId="33621943" w:rsidR="00C91105" w:rsidRPr="00C91105" w:rsidRDefault="00C91105" w:rsidP="00C91105">
                  <w:pPr>
                    <w:pStyle w:val="Default"/>
                    <w:ind w:hanging="48"/>
                    <w:rPr>
                      <w:rFonts w:asciiTheme="minorHAnsi" w:hAnsiTheme="minorHAnsi" w:cstheme="minorHAnsi"/>
                      <w:sz w:val="22"/>
                      <w:szCs w:val="22"/>
                    </w:rPr>
                  </w:pPr>
                  <w:r w:rsidRPr="00C91105">
                    <w:rPr>
                      <w:rFonts w:asciiTheme="minorHAnsi" w:hAnsiTheme="minorHAnsi" w:cstheme="minorHAnsi"/>
                      <w:b/>
                      <w:bCs/>
                      <w:sz w:val="22"/>
                      <w:szCs w:val="22"/>
                    </w:rPr>
                    <w:t xml:space="preserve">Challenges: </w:t>
                  </w:r>
                </w:p>
                <w:p w14:paraId="66EB0A1C" w14:textId="447387C7" w:rsidR="00C91105" w:rsidRPr="00C91105" w:rsidRDefault="00C91105" w:rsidP="00C91105">
                  <w:pPr>
                    <w:pStyle w:val="Default"/>
                    <w:ind w:hanging="48"/>
                    <w:rPr>
                      <w:rFonts w:asciiTheme="minorHAnsi" w:hAnsiTheme="minorHAnsi" w:cstheme="minorHAnsi"/>
                      <w:sz w:val="22"/>
                      <w:szCs w:val="22"/>
                    </w:rPr>
                  </w:pPr>
                  <w:r>
                    <w:rPr>
                      <w:rFonts w:asciiTheme="minorHAnsi" w:hAnsiTheme="minorHAnsi" w:cstheme="minorHAnsi"/>
                      <w:sz w:val="22"/>
                      <w:szCs w:val="22"/>
                    </w:rPr>
                    <w:t>Continue to b</w:t>
                  </w:r>
                  <w:r w:rsidRPr="00C91105">
                    <w:rPr>
                      <w:rFonts w:asciiTheme="minorHAnsi" w:hAnsiTheme="minorHAnsi" w:cstheme="minorHAnsi"/>
                      <w:sz w:val="22"/>
                      <w:szCs w:val="22"/>
                    </w:rPr>
                    <w:t>uild a learning environment cha</w:t>
                  </w:r>
                  <w:r>
                    <w:rPr>
                      <w:rFonts w:asciiTheme="minorHAnsi" w:hAnsiTheme="minorHAnsi" w:cstheme="minorHAnsi"/>
                      <w:sz w:val="22"/>
                      <w:szCs w:val="22"/>
                    </w:rPr>
                    <w:t>racterised by high expectations.</w:t>
                  </w:r>
                </w:p>
                <w:p w14:paraId="61EFB55A" w14:textId="5AE05384" w:rsidR="00C91105" w:rsidRPr="00C91105" w:rsidRDefault="00C91105" w:rsidP="00C91105">
                  <w:pPr>
                    <w:pStyle w:val="Default"/>
                    <w:ind w:hanging="48"/>
                    <w:rPr>
                      <w:rFonts w:asciiTheme="minorHAnsi" w:hAnsiTheme="minorHAnsi" w:cstheme="minorHAnsi"/>
                      <w:sz w:val="22"/>
                      <w:szCs w:val="22"/>
                    </w:rPr>
                  </w:pPr>
                  <w:r w:rsidRPr="00C91105">
                    <w:rPr>
                      <w:rFonts w:asciiTheme="minorHAnsi" w:hAnsiTheme="minorHAnsi" w:cstheme="minorHAnsi"/>
                      <w:sz w:val="22"/>
                      <w:szCs w:val="22"/>
                    </w:rPr>
                    <w:t>Evaluate and monitor the impact of teaching and lea</w:t>
                  </w:r>
                  <w:r>
                    <w:rPr>
                      <w:rFonts w:asciiTheme="minorHAnsi" w:hAnsiTheme="minorHAnsi" w:cstheme="minorHAnsi"/>
                      <w:sz w:val="22"/>
                      <w:szCs w:val="22"/>
                    </w:rPr>
                    <w:t>rning.</w:t>
                  </w:r>
                </w:p>
                <w:p w14:paraId="48ADED84" w14:textId="3AC95ADD" w:rsidR="00C91105" w:rsidRPr="00C91105" w:rsidRDefault="00C91105" w:rsidP="00C91105">
                  <w:pPr>
                    <w:pStyle w:val="Default"/>
                    <w:ind w:hanging="48"/>
                    <w:rPr>
                      <w:rFonts w:asciiTheme="minorHAnsi" w:hAnsiTheme="minorHAnsi" w:cstheme="minorHAnsi"/>
                      <w:sz w:val="22"/>
                      <w:szCs w:val="22"/>
                    </w:rPr>
                  </w:pPr>
                  <w:r w:rsidRPr="00C91105">
                    <w:rPr>
                      <w:rFonts w:asciiTheme="minorHAnsi" w:hAnsiTheme="minorHAnsi" w:cstheme="minorHAnsi"/>
                      <w:sz w:val="22"/>
                      <w:szCs w:val="22"/>
                    </w:rPr>
                    <w:t xml:space="preserve">Build a shared leadership vision for teaching and learning. </w:t>
                  </w:r>
                </w:p>
                <w:p w14:paraId="537DAD87" w14:textId="5FBCB138" w:rsidR="00C91105" w:rsidRPr="00C91105" w:rsidRDefault="00C91105" w:rsidP="00C91105">
                  <w:pPr>
                    <w:pStyle w:val="Default"/>
                    <w:ind w:hanging="48"/>
                    <w:rPr>
                      <w:rFonts w:asciiTheme="minorHAnsi" w:hAnsiTheme="minorHAnsi" w:cstheme="minorHAnsi"/>
                      <w:sz w:val="22"/>
                      <w:szCs w:val="22"/>
                    </w:rPr>
                  </w:pPr>
                  <w:r>
                    <w:rPr>
                      <w:rFonts w:asciiTheme="minorHAnsi" w:hAnsiTheme="minorHAnsi" w:cstheme="minorHAnsi"/>
                      <w:sz w:val="22"/>
                      <w:szCs w:val="22"/>
                    </w:rPr>
                    <w:t>Promote a feeling of optimism and positivity.</w:t>
                  </w:r>
                </w:p>
                <w:p w14:paraId="17770650" w14:textId="6AF0CFD5" w:rsidR="00C91105" w:rsidRPr="00C91105" w:rsidRDefault="00C91105" w:rsidP="00C91105">
                  <w:pPr>
                    <w:pStyle w:val="Default"/>
                    <w:ind w:hanging="48"/>
                    <w:rPr>
                      <w:rFonts w:asciiTheme="minorHAnsi" w:hAnsiTheme="minorHAnsi" w:cstheme="minorHAnsi"/>
                      <w:sz w:val="22"/>
                      <w:szCs w:val="22"/>
                    </w:rPr>
                  </w:pPr>
                  <w:r w:rsidRPr="00C91105">
                    <w:rPr>
                      <w:rFonts w:asciiTheme="minorHAnsi" w:hAnsiTheme="minorHAnsi" w:cstheme="minorHAnsi"/>
                      <w:sz w:val="22"/>
                      <w:szCs w:val="22"/>
                    </w:rPr>
                    <w:t>Building parent’s understanding of school policy and practices</w:t>
                  </w:r>
                  <w:r>
                    <w:rPr>
                      <w:rFonts w:asciiTheme="minorHAnsi" w:hAnsiTheme="minorHAnsi" w:cstheme="minorHAnsi"/>
                      <w:sz w:val="22"/>
                      <w:szCs w:val="22"/>
                    </w:rPr>
                    <w:t>.</w:t>
                  </w:r>
                  <w:r w:rsidRPr="00C91105">
                    <w:rPr>
                      <w:rFonts w:asciiTheme="minorHAnsi" w:hAnsiTheme="minorHAnsi" w:cstheme="minorHAnsi"/>
                      <w:sz w:val="22"/>
                      <w:szCs w:val="22"/>
                    </w:rPr>
                    <w:t xml:space="preserve"> </w:t>
                  </w:r>
                </w:p>
                <w:p w14:paraId="4C39DE9D" w14:textId="5308602D" w:rsidR="00C91105" w:rsidRPr="00C91105" w:rsidRDefault="00C91105" w:rsidP="00C91105">
                  <w:pPr>
                    <w:pStyle w:val="Default"/>
                    <w:ind w:hanging="48"/>
                    <w:rPr>
                      <w:rFonts w:asciiTheme="minorHAnsi" w:hAnsiTheme="minorHAnsi" w:cstheme="minorHAnsi"/>
                      <w:sz w:val="22"/>
                      <w:szCs w:val="22"/>
                    </w:rPr>
                  </w:pPr>
                </w:p>
                <w:p w14:paraId="631E05AC" w14:textId="77777777" w:rsidR="00C91105" w:rsidRPr="00C91105" w:rsidRDefault="00C91105" w:rsidP="00C91105">
                  <w:pPr>
                    <w:pStyle w:val="Default"/>
                    <w:rPr>
                      <w:rFonts w:ascii="Kahootz Times New Roman" w:hAnsi="Kahootz Times New Roman" w:cs="Kahootz Times New Roman"/>
                      <w:sz w:val="22"/>
                      <w:szCs w:val="22"/>
                    </w:rPr>
                  </w:pPr>
                </w:p>
              </w:tc>
            </w:tr>
          </w:tbl>
          <w:p w14:paraId="7D7C2063" w14:textId="77777777" w:rsidR="00C91105" w:rsidRPr="00C91105" w:rsidRDefault="00C91105" w:rsidP="00564E7E">
            <w:pPr>
              <w:jc w:val="both"/>
            </w:pPr>
          </w:p>
          <w:p w14:paraId="2DD7A514" w14:textId="1E2AABA6" w:rsidR="00B85BE6" w:rsidRPr="00C91105" w:rsidRDefault="00B85BE6" w:rsidP="00B85BE6">
            <w:pPr>
              <w:rPr>
                <w:i/>
              </w:rPr>
            </w:pPr>
          </w:p>
        </w:tc>
        <w:tc>
          <w:tcPr>
            <w:tcW w:w="7229" w:type="dxa"/>
            <w:vMerge w:val="restart"/>
          </w:tcPr>
          <w:p w14:paraId="1441370B" w14:textId="77777777" w:rsidR="00BB5235" w:rsidRPr="00C91105" w:rsidRDefault="00BB5235" w:rsidP="00671367">
            <w:pPr>
              <w:pStyle w:val="NoSpacing"/>
              <w:rPr>
                <w:rFonts w:asciiTheme="minorHAnsi" w:hAnsiTheme="minorHAnsi"/>
                <w:b/>
                <w:sz w:val="22"/>
                <w:szCs w:val="22"/>
              </w:rPr>
            </w:pPr>
            <w:r w:rsidRPr="00C91105">
              <w:rPr>
                <w:rFonts w:asciiTheme="minorHAnsi" w:hAnsiTheme="minorHAnsi"/>
                <w:b/>
                <w:sz w:val="22"/>
                <w:szCs w:val="22"/>
              </w:rPr>
              <w:t>Student learning</w:t>
            </w:r>
          </w:p>
          <w:p w14:paraId="24E95F57" w14:textId="7C8C1406" w:rsidR="00BB5235" w:rsidRPr="00C91105" w:rsidRDefault="00671367" w:rsidP="00671367">
            <w:pPr>
              <w:pStyle w:val="NoSpacing"/>
              <w:rPr>
                <w:rFonts w:asciiTheme="minorHAnsi" w:hAnsiTheme="minorHAnsi"/>
                <w:sz w:val="22"/>
                <w:szCs w:val="22"/>
              </w:rPr>
            </w:pPr>
            <w:r w:rsidRPr="00C91105">
              <w:rPr>
                <w:rFonts w:asciiTheme="minorHAnsi" w:hAnsiTheme="minorHAnsi"/>
                <w:sz w:val="22"/>
                <w:szCs w:val="22"/>
              </w:rPr>
              <w:t>Niddrie P</w:t>
            </w:r>
            <w:r w:rsidR="00BB5235" w:rsidRPr="00C91105">
              <w:rPr>
                <w:rFonts w:asciiTheme="minorHAnsi" w:hAnsiTheme="minorHAnsi"/>
                <w:sz w:val="22"/>
                <w:szCs w:val="22"/>
              </w:rPr>
              <w:t xml:space="preserve">rimary School aims to ensure the achievement of high quality educational outcomes and strong learning growth for all students with a focus on Literacy and Numeracy. </w:t>
            </w:r>
          </w:p>
          <w:p w14:paraId="1F0BEEF0" w14:textId="77777777" w:rsidR="00671367" w:rsidRPr="00C91105" w:rsidRDefault="00BB5235" w:rsidP="00671367">
            <w:pPr>
              <w:pStyle w:val="NoSpacing"/>
              <w:rPr>
                <w:rFonts w:asciiTheme="minorHAnsi" w:hAnsiTheme="minorHAnsi"/>
                <w:sz w:val="22"/>
                <w:szCs w:val="22"/>
              </w:rPr>
            </w:pPr>
            <w:r w:rsidRPr="00C91105">
              <w:rPr>
                <w:rFonts w:asciiTheme="minorHAnsi" w:hAnsiTheme="minorHAnsi"/>
                <w:sz w:val="22"/>
                <w:szCs w:val="22"/>
              </w:rPr>
              <w:t xml:space="preserve">These learning goal and targets are based on the rationale that if the school’s agreed differentiated teaching and learning model is consistently embedded in every classroom then high quality teaching will occur and every student will demonstrate the targeted learning progress. </w:t>
            </w:r>
          </w:p>
          <w:p w14:paraId="27FB44E1" w14:textId="24E923B7" w:rsidR="00BB5235" w:rsidRPr="00C91105" w:rsidRDefault="00BB5235" w:rsidP="00671367">
            <w:pPr>
              <w:pStyle w:val="NoSpacing"/>
              <w:rPr>
                <w:rFonts w:asciiTheme="minorHAnsi" w:hAnsiTheme="minorHAnsi"/>
                <w:sz w:val="22"/>
                <w:szCs w:val="22"/>
              </w:rPr>
            </w:pPr>
            <w:r w:rsidRPr="00C91105">
              <w:rPr>
                <w:rFonts w:asciiTheme="minorHAnsi" w:hAnsiTheme="minorHAnsi"/>
                <w:sz w:val="22"/>
                <w:szCs w:val="22"/>
              </w:rPr>
              <w:t>We believe that key improvement strategies designed to achieve these ends include:</w:t>
            </w:r>
          </w:p>
          <w:p w14:paraId="6D8E2F05" w14:textId="77777777" w:rsidR="00BB5235" w:rsidRPr="00C91105" w:rsidRDefault="00BB5235" w:rsidP="00671367">
            <w:pPr>
              <w:pStyle w:val="NoSpacing"/>
              <w:numPr>
                <w:ilvl w:val="0"/>
                <w:numId w:val="5"/>
              </w:numPr>
              <w:rPr>
                <w:rFonts w:asciiTheme="minorHAnsi" w:hAnsiTheme="minorHAnsi"/>
                <w:sz w:val="22"/>
                <w:szCs w:val="22"/>
              </w:rPr>
            </w:pPr>
            <w:r w:rsidRPr="00C91105">
              <w:rPr>
                <w:rFonts w:asciiTheme="minorHAnsi" w:hAnsiTheme="minorHAnsi"/>
                <w:sz w:val="22"/>
                <w:szCs w:val="22"/>
              </w:rPr>
              <w:t>Review and refine whole school differentiated approaches to Literacy and Numeracy</w:t>
            </w:r>
          </w:p>
          <w:p w14:paraId="02AED75E" w14:textId="77777777" w:rsidR="00BB5235" w:rsidRPr="00C91105" w:rsidRDefault="00BB5235" w:rsidP="00671367">
            <w:pPr>
              <w:pStyle w:val="NoSpacing"/>
              <w:numPr>
                <w:ilvl w:val="0"/>
                <w:numId w:val="5"/>
              </w:numPr>
              <w:rPr>
                <w:rFonts w:asciiTheme="minorHAnsi" w:hAnsiTheme="minorHAnsi"/>
                <w:sz w:val="22"/>
                <w:szCs w:val="22"/>
              </w:rPr>
            </w:pPr>
            <w:r w:rsidRPr="00C91105">
              <w:rPr>
                <w:rFonts w:asciiTheme="minorHAnsi" w:hAnsiTheme="minorHAnsi"/>
                <w:sz w:val="22"/>
                <w:szCs w:val="22"/>
              </w:rPr>
              <w:t xml:space="preserve">Build capacity to consistently embed whole school differentiated approaches to Literacy and Numeracy </w:t>
            </w:r>
          </w:p>
          <w:p w14:paraId="0888F111" w14:textId="77777777" w:rsidR="00BB5235" w:rsidRPr="00C91105" w:rsidRDefault="00BB5235" w:rsidP="00671367">
            <w:pPr>
              <w:pStyle w:val="NoSpacing"/>
              <w:numPr>
                <w:ilvl w:val="0"/>
                <w:numId w:val="5"/>
              </w:numPr>
              <w:rPr>
                <w:rFonts w:asciiTheme="minorHAnsi" w:hAnsiTheme="minorHAnsi"/>
                <w:sz w:val="22"/>
                <w:szCs w:val="22"/>
              </w:rPr>
            </w:pPr>
            <w:r w:rsidRPr="00C91105">
              <w:rPr>
                <w:rFonts w:asciiTheme="minorHAnsi" w:hAnsiTheme="minorHAnsi"/>
                <w:sz w:val="22"/>
                <w:szCs w:val="22"/>
              </w:rPr>
              <w:t>Investigate and further develop distributed instructional leadership model within resource constraints</w:t>
            </w:r>
          </w:p>
          <w:p w14:paraId="0894CA56" w14:textId="77777777" w:rsidR="00BB5235" w:rsidRPr="00C91105" w:rsidRDefault="00BB5235" w:rsidP="00671367">
            <w:pPr>
              <w:pStyle w:val="NoSpacing"/>
              <w:rPr>
                <w:rFonts w:asciiTheme="minorHAnsi" w:hAnsiTheme="minorHAnsi"/>
                <w:b/>
                <w:sz w:val="22"/>
                <w:szCs w:val="22"/>
              </w:rPr>
            </w:pPr>
            <w:r w:rsidRPr="00C91105">
              <w:rPr>
                <w:rFonts w:asciiTheme="minorHAnsi" w:hAnsiTheme="minorHAnsi"/>
                <w:b/>
                <w:sz w:val="22"/>
                <w:szCs w:val="22"/>
              </w:rPr>
              <w:t xml:space="preserve">Student engagement </w:t>
            </w:r>
          </w:p>
          <w:p w14:paraId="4F22EF58" w14:textId="1D281D7E" w:rsidR="00BB5235" w:rsidRPr="00C91105" w:rsidRDefault="00BB5235" w:rsidP="00671367">
            <w:pPr>
              <w:pStyle w:val="NoSpacing"/>
              <w:rPr>
                <w:rFonts w:asciiTheme="minorHAnsi" w:hAnsiTheme="minorHAnsi"/>
                <w:sz w:val="22"/>
                <w:szCs w:val="22"/>
              </w:rPr>
            </w:pPr>
            <w:r w:rsidRPr="00C91105">
              <w:rPr>
                <w:rFonts w:asciiTheme="minorHAnsi" w:hAnsiTheme="minorHAnsi"/>
                <w:sz w:val="22"/>
                <w:szCs w:val="22"/>
              </w:rPr>
              <w:t>To develop learners who challenge themselves to advance their learning and who demonstrate the school’s Learner Dispositions. Based on the rationale that students who are cognitively, emotionally and behaviourally engaged with schooling will improve their learning outcomes.</w:t>
            </w:r>
          </w:p>
          <w:p w14:paraId="0A44D0B3" w14:textId="77777777" w:rsidR="00BB5235" w:rsidRPr="00C91105" w:rsidRDefault="00BB5235" w:rsidP="00671367">
            <w:pPr>
              <w:pStyle w:val="NoSpacing"/>
              <w:rPr>
                <w:rFonts w:asciiTheme="minorHAnsi" w:hAnsiTheme="minorHAnsi"/>
                <w:b/>
                <w:sz w:val="22"/>
                <w:szCs w:val="22"/>
              </w:rPr>
            </w:pPr>
            <w:r w:rsidRPr="00C91105">
              <w:rPr>
                <w:rFonts w:asciiTheme="minorHAnsi" w:hAnsiTheme="minorHAnsi"/>
                <w:b/>
                <w:sz w:val="22"/>
                <w:szCs w:val="22"/>
              </w:rPr>
              <w:t xml:space="preserve">Student wellbeing </w:t>
            </w:r>
          </w:p>
          <w:p w14:paraId="0D072BC9" w14:textId="32D2C8E2" w:rsidR="00BB5235" w:rsidRPr="00C91105" w:rsidRDefault="00BB5235" w:rsidP="00671367">
            <w:pPr>
              <w:pStyle w:val="NoSpacing"/>
              <w:rPr>
                <w:rFonts w:asciiTheme="minorHAnsi" w:hAnsiTheme="minorHAnsi"/>
                <w:sz w:val="22"/>
                <w:szCs w:val="22"/>
              </w:rPr>
            </w:pPr>
            <w:r w:rsidRPr="00C91105">
              <w:rPr>
                <w:rFonts w:asciiTheme="minorHAnsi" w:hAnsiTheme="minorHAnsi"/>
                <w:sz w:val="22"/>
                <w:szCs w:val="22"/>
              </w:rPr>
              <w:t>We aim to develop optimistic students who display growth mindsets, behaviours and attitudes that reflect the school values. Based on the rationale that children with higher resiliency are more likely to thrive in learning and achieve greater educational outcomes.</w:t>
            </w:r>
          </w:p>
          <w:p w14:paraId="749BBB7F" w14:textId="277D5904" w:rsidR="00B85BE6" w:rsidRPr="006569E2" w:rsidRDefault="00B85BE6" w:rsidP="00B85BE6">
            <w:pPr>
              <w:rPr>
                <w:sz w:val="16"/>
                <w:szCs w:val="16"/>
              </w:rPr>
            </w:pPr>
          </w:p>
        </w:tc>
      </w:tr>
      <w:tr w:rsidR="00B85BE6" w14:paraId="1C2E7DB7" w14:textId="77777777" w:rsidTr="00367C8D">
        <w:trPr>
          <w:trHeight w:val="220"/>
        </w:trPr>
        <w:tc>
          <w:tcPr>
            <w:tcW w:w="3686" w:type="dxa"/>
            <w:vMerge/>
            <w:shd w:val="clear" w:color="auto" w:fill="C2D69B" w:themeFill="accent3" w:themeFillTint="99"/>
          </w:tcPr>
          <w:p w14:paraId="2E752559" w14:textId="03AA14AB" w:rsidR="00B85BE6" w:rsidRDefault="00B85BE6" w:rsidP="00B85BE6">
            <w:pPr>
              <w:rPr>
                <w:b/>
                <w:sz w:val="18"/>
                <w:szCs w:val="18"/>
              </w:rPr>
            </w:pPr>
          </w:p>
        </w:tc>
        <w:tc>
          <w:tcPr>
            <w:tcW w:w="4678"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367C8D">
        <w:trPr>
          <w:trHeight w:val="220"/>
        </w:trPr>
        <w:tc>
          <w:tcPr>
            <w:tcW w:w="3686" w:type="dxa"/>
            <w:vMerge/>
          </w:tcPr>
          <w:p w14:paraId="3E998D3A" w14:textId="77777777" w:rsidR="00B85BE6" w:rsidRDefault="00B85BE6" w:rsidP="00B85BE6">
            <w:pPr>
              <w:rPr>
                <w:sz w:val="18"/>
                <w:szCs w:val="18"/>
                <w:highlight w:val="lightGray"/>
              </w:rPr>
            </w:pPr>
          </w:p>
        </w:tc>
        <w:tc>
          <w:tcPr>
            <w:tcW w:w="4678"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1C8783F6" w:rsidR="00E23FC3" w:rsidRDefault="00E23FC3" w:rsidP="00E23FC3">
      <w:pPr>
        <w:tabs>
          <w:tab w:val="left" w:pos="3000"/>
        </w:tabs>
      </w:pPr>
    </w:p>
    <w:p w14:paraId="15DE2779" w14:textId="77777777" w:rsidR="00671367" w:rsidRDefault="00671367"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6569E2">
        <w:trPr>
          <w:trHeight w:val="570"/>
        </w:trPr>
        <w:tc>
          <w:tcPr>
            <w:tcW w:w="6663"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C2D69B" w:themeFill="accent3" w:themeFillTint="99"/>
          </w:tcPr>
          <w:p w14:paraId="78D5E382" w14:textId="7805D260" w:rsidR="006569E2" w:rsidRPr="00B84C8C" w:rsidRDefault="006569E2" w:rsidP="006569E2">
            <w:pPr>
              <w:spacing w:before="120"/>
              <w:rPr>
                <w:b/>
                <w:sz w:val="20"/>
                <w:szCs w:val="20"/>
              </w:rPr>
            </w:pPr>
            <w:r w:rsidRPr="00B84C8C">
              <w:rPr>
                <w:b/>
                <w:sz w:val="20"/>
                <w:szCs w:val="20"/>
              </w:rPr>
              <w:t xml:space="preserve">Key improvement strategies </w:t>
            </w:r>
          </w:p>
        </w:tc>
        <w:tc>
          <w:tcPr>
            <w:tcW w:w="6615"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6569E2" w14:paraId="572CE555" w14:textId="772407F0" w:rsidTr="00665F3B">
        <w:trPr>
          <w:trHeight w:val="720"/>
        </w:trPr>
        <w:tc>
          <w:tcPr>
            <w:tcW w:w="6663" w:type="dxa"/>
            <w:shd w:val="clear" w:color="auto" w:fill="auto"/>
          </w:tcPr>
          <w:p w14:paraId="16D641DB" w14:textId="312D17D3" w:rsidR="00715247" w:rsidRPr="00C91105" w:rsidRDefault="00715247" w:rsidP="00715247">
            <w:pPr>
              <w:pStyle w:val="Table-Entry"/>
              <w:spacing w:before="60"/>
              <w:rPr>
                <w:b/>
                <w:color w:val="auto"/>
                <w:sz w:val="24"/>
                <w:szCs w:val="24"/>
              </w:rPr>
            </w:pPr>
            <w:r w:rsidRPr="00C91105">
              <w:rPr>
                <w:b/>
                <w:color w:val="auto"/>
                <w:sz w:val="24"/>
                <w:szCs w:val="24"/>
              </w:rPr>
              <w:t>Goals – Student Achievement</w:t>
            </w:r>
          </w:p>
          <w:p w14:paraId="618ED261" w14:textId="093A2626" w:rsidR="00C47D3A" w:rsidRPr="00C91105" w:rsidRDefault="00C47D3A" w:rsidP="00715247">
            <w:pPr>
              <w:spacing w:before="60" w:after="60"/>
              <w:rPr>
                <w:sz w:val="24"/>
                <w:szCs w:val="24"/>
              </w:rPr>
            </w:pPr>
            <w:r w:rsidRPr="00C91105">
              <w:rPr>
                <w:sz w:val="24"/>
                <w:szCs w:val="24"/>
              </w:rPr>
              <w:t>To ensure the achievement of high quality educational outcomes and strong learning growth for all students with a focus on Literacy and Numeracy.</w:t>
            </w:r>
          </w:p>
          <w:p w14:paraId="2F6D8DD4" w14:textId="77777777" w:rsidR="006569E2" w:rsidRDefault="006569E2" w:rsidP="00A05F71">
            <w:pPr>
              <w:rPr>
                <w:sz w:val="18"/>
                <w:szCs w:val="18"/>
                <w:highlight w:val="lightGray"/>
              </w:rPr>
            </w:pPr>
          </w:p>
        </w:tc>
        <w:tc>
          <w:tcPr>
            <w:tcW w:w="2694" w:type="dxa"/>
            <w:shd w:val="clear" w:color="auto" w:fill="auto"/>
          </w:tcPr>
          <w:p w14:paraId="1F971845" w14:textId="77777777" w:rsidR="00B84C8C" w:rsidRPr="00C91105" w:rsidRDefault="00B84C8C" w:rsidP="00B84C8C">
            <w:pPr>
              <w:pStyle w:val="Table-Entry"/>
              <w:spacing w:before="60"/>
              <w:rPr>
                <w:b/>
                <w:sz w:val="22"/>
                <w:szCs w:val="22"/>
              </w:rPr>
            </w:pPr>
            <w:r w:rsidRPr="00C91105">
              <w:rPr>
                <w:b/>
                <w:sz w:val="22"/>
                <w:szCs w:val="22"/>
              </w:rPr>
              <w:t>FISO Priority</w:t>
            </w:r>
          </w:p>
          <w:p w14:paraId="028ADC06" w14:textId="77777777" w:rsidR="00B84C8C" w:rsidRPr="00C91105" w:rsidRDefault="00B84C8C" w:rsidP="00B84C8C">
            <w:pPr>
              <w:pStyle w:val="Table-Entry"/>
              <w:spacing w:before="60"/>
              <w:rPr>
                <w:color w:val="auto"/>
                <w:sz w:val="22"/>
                <w:szCs w:val="22"/>
              </w:rPr>
            </w:pPr>
            <w:r w:rsidRPr="00C91105">
              <w:rPr>
                <w:color w:val="auto"/>
                <w:sz w:val="22"/>
                <w:szCs w:val="22"/>
              </w:rPr>
              <w:t>Excellence in teaching and learning priority.</w:t>
            </w:r>
          </w:p>
          <w:p w14:paraId="24277433" w14:textId="77777777" w:rsidR="00B84C8C" w:rsidRPr="00C91105" w:rsidRDefault="00B84C8C" w:rsidP="00B84C8C">
            <w:pPr>
              <w:pStyle w:val="Table-Entry"/>
              <w:spacing w:before="60"/>
              <w:rPr>
                <w:b/>
                <w:sz w:val="22"/>
                <w:szCs w:val="22"/>
              </w:rPr>
            </w:pPr>
            <w:r w:rsidRPr="00C91105">
              <w:rPr>
                <w:b/>
                <w:sz w:val="22"/>
                <w:szCs w:val="22"/>
              </w:rPr>
              <w:t>FISO dimension</w:t>
            </w:r>
          </w:p>
          <w:p w14:paraId="18A18DD7" w14:textId="77777777" w:rsidR="00B84C8C" w:rsidRPr="00C91105" w:rsidRDefault="00B84C8C" w:rsidP="00B84C8C">
            <w:pPr>
              <w:pStyle w:val="Table-Entry"/>
              <w:numPr>
                <w:ilvl w:val="0"/>
                <w:numId w:val="8"/>
              </w:numPr>
              <w:tabs>
                <w:tab w:val="clear" w:pos="205"/>
              </w:tabs>
              <w:spacing w:before="60"/>
              <w:rPr>
                <w:sz w:val="22"/>
                <w:szCs w:val="22"/>
              </w:rPr>
            </w:pPr>
            <w:r w:rsidRPr="00C91105">
              <w:rPr>
                <w:sz w:val="22"/>
                <w:szCs w:val="22"/>
              </w:rPr>
              <w:t xml:space="preserve">Evidence-based high impact teaching strategies </w:t>
            </w:r>
          </w:p>
          <w:p w14:paraId="1165B158" w14:textId="3E4469C3" w:rsidR="00B84C8C" w:rsidRDefault="00B84C8C" w:rsidP="00A05F71"/>
          <w:p w14:paraId="619A35CE" w14:textId="740F031D" w:rsidR="00C91105" w:rsidRDefault="00C91105" w:rsidP="00A05F71"/>
          <w:p w14:paraId="7EF76339" w14:textId="77777777" w:rsidR="00C91105" w:rsidRPr="00C91105" w:rsidRDefault="00C91105" w:rsidP="00A05F71"/>
          <w:p w14:paraId="5DF7A6E2" w14:textId="77777777" w:rsidR="00B84C8C" w:rsidRPr="00C91105" w:rsidRDefault="00B84C8C" w:rsidP="00B84C8C">
            <w:pPr>
              <w:pStyle w:val="Table-Entry"/>
              <w:spacing w:before="60"/>
              <w:rPr>
                <w:b/>
                <w:sz w:val="22"/>
                <w:szCs w:val="22"/>
              </w:rPr>
            </w:pPr>
            <w:r w:rsidRPr="00C91105">
              <w:rPr>
                <w:b/>
                <w:sz w:val="22"/>
                <w:szCs w:val="22"/>
              </w:rPr>
              <w:t>FISO Priority</w:t>
            </w:r>
          </w:p>
          <w:p w14:paraId="00CA2112" w14:textId="77777777" w:rsidR="00B84C8C" w:rsidRPr="00C91105" w:rsidRDefault="00B84C8C" w:rsidP="00B84C8C">
            <w:pPr>
              <w:pStyle w:val="Table-Entry"/>
              <w:numPr>
                <w:ilvl w:val="0"/>
                <w:numId w:val="8"/>
              </w:numPr>
              <w:spacing w:before="60"/>
              <w:rPr>
                <w:color w:val="auto"/>
                <w:sz w:val="22"/>
                <w:szCs w:val="22"/>
              </w:rPr>
            </w:pPr>
            <w:r w:rsidRPr="00C91105">
              <w:rPr>
                <w:color w:val="auto"/>
                <w:sz w:val="22"/>
                <w:szCs w:val="22"/>
              </w:rPr>
              <w:t>Excellence in teaching and learning</w:t>
            </w:r>
          </w:p>
          <w:p w14:paraId="65635168" w14:textId="77777777" w:rsidR="00B84C8C" w:rsidRPr="00C91105" w:rsidRDefault="00B84C8C" w:rsidP="00B84C8C">
            <w:pPr>
              <w:pStyle w:val="Table-Entry"/>
              <w:spacing w:before="60"/>
              <w:rPr>
                <w:b/>
                <w:sz w:val="22"/>
                <w:szCs w:val="22"/>
              </w:rPr>
            </w:pPr>
            <w:r w:rsidRPr="00C91105">
              <w:rPr>
                <w:b/>
                <w:sz w:val="22"/>
                <w:szCs w:val="22"/>
              </w:rPr>
              <w:t>FISO initiative</w:t>
            </w:r>
          </w:p>
          <w:p w14:paraId="2E36E085" w14:textId="77777777" w:rsidR="00B84C8C" w:rsidRPr="00C91105" w:rsidRDefault="00B84C8C" w:rsidP="00B84C8C">
            <w:pPr>
              <w:pStyle w:val="Table-Entry"/>
              <w:numPr>
                <w:ilvl w:val="0"/>
                <w:numId w:val="8"/>
              </w:numPr>
              <w:spacing w:before="60"/>
              <w:rPr>
                <w:b/>
                <w:sz w:val="22"/>
                <w:szCs w:val="22"/>
              </w:rPr>
            </w:pPr>
            <w:r w:rsidRPr="00C91105">
              <w:rPr>
                <w:color w:val="auto"/>
                <w:sz w:val="22"/>
                <w:szCs w:val="22"/>
              </w:rPr>
              <w:t xml:space="preserve">Building practice excellence </w:t>
            </w:r>
          </w:p>
          <w:p w14:paraId="0A50162D" w14:textId="77777777" w:rsidR="00B84C8C" w:rsidRPr="00C91105" w:rsidRDefault="00B84C8C" w:rsidP="00B84C8C">
            <w:pPr>
              <w:pStyle w:val="Table-Entry"/>
              <w:spacing w:before="60"/>
              <w:rPr>
                <w:b/>
                <w:sz w:val="22"/>
                <w:szCs w:val="22"/>
              </w:rPr>
            </w:pPr>
            <w:r w:rsidRPr="00C91105">
              <w:rPr>
                <w:b/>
                <w:sz w:val="22"/>
                <w:szCs w:val="22"/>
              </w:rPr>
              <w:t>FISO dimension</w:t>
            </w:r>
          </w:p>
          <w:p w14:paraId="3D6F773E" w14:textId="77777777" w:rsidR="00B84C8C" w:rsidRPr="00C91105" w:rsidRDefault="00B84C8C" w:rsidP="00C91105">
            <w:pPr>
              <w:pStyle w:val="Table-Entry"/>
              <w:spacing w:before="60"/>
              <w:rPr>
                <w:sz w:val="22"/>
                <w:szCs w:val="22"/>
              </w:rPr>
            </w:pPr>
            <w:r w:rsidRPr="00C91105">
              <w:rPr>
                <w:sz w:val="22"/>
                <w:szCs w:val="22"/>
              </w:rPr>
              <w:t>Evaluating impact on learning</w:t>
            </w:r>
          </w:p>
          <w:p w14:paraId="205BA258" w14:textId="3294F802" w:rsidR="00B84C8C" w:rsidRPr="00C91105" w:rsidRDefault="00B84C8C" w:rsidP="00A05F71"/>
          <w:p w14:paraId="3BB76290" w14:textId="73A66CED" w:rsidR="00B84C8C" w:rsidRDefault="00B84C8C" w:rsidP="00A05F71"/>
          <w:p w14:paraId="52ADBD9A" w14:textId="6E4FA05F" w:rsidR="00C91105" w:rsidRDefault="00C91105" w:rsidP="00A05F71"/>
          <w:p w14:paraId="7FC85E22" w14:textId="77777777" w:rsidR="00C91105" w:rsidRPr="00C91105" w:rsidRDefault="00C91105" w:rsidP="00A05F71"/>
          <w:p w14:paraId="054D0F0D" w14:textId="77777777" w:rsidR="00B84C8C" w:rsidRPr="00C91105" w:rsidRDefault="00B84C8C" w:rsidP="00B84C8C">
            <w:pPr>
              <w:pStyle w:val="Table-Entry"/>
              <w:spacing w:before="60"/>
              <w:rPr>
                <w:b/>
                <w:sz w:val="22"/>
                <w:szCs w:val="22"/>
              </w:rPr>
            </w:pPr>
            <w:r w:rsidRPr="00C91105">
              <w:rPr>
                <w:b/>
                <w:sz w:val="22"/>
                <w:szCs w:val="22"/>
              </w:rPr>
              <w:t>FISO Priority</w:t>
            </w:r>
          </w:p>
          <w:p w14:paraId="784705F0" w14:textId="77777777" w:rsidR="00B84C8C" w:rsidRPr="00C91105" w:rsidRDefault="00B84C8C" w:rsidP="00B84C8C">
            <w:pPr>
              <w:pStyle w:val="Table-Entry"/>
              <w:numPr>
                <w:ilvl w:val="0"/>
                <w:numId w:val="8"/>
              </w:numPr>
              <w:spacing w:before="60"/>
              <w:rPr>
                <w:color w:val="auto"/>
                <w:sz w:val="22"/>
                <w:szCs w:val="22"/>
              </w:rPr>
            </w:pPr>
            <w:r w:rsidRPr="00C91105">
              <w:rPr>
                <w:color w:val="auto"/>
                <w:sz w:val="22"/>
                <w:szCs w:val="22"/>
              </w:rPr>
              <w:t>Professional Leadership</w:t>
            </w:r>
          </w:p>
          <w:p w14:paraId="57BBCC6F" w14:textId="77777777" w:rsidR="00B84C8C" w:rsidRPr="00C91105" w:rsidRDefault="00B84C8C" w:rsidP="00B84C8C">
            <w:pPr>
              <w:pStyle w:val="Table-Entry"/>
              <w:spacing w:before="60"/>
              <w:rPr>
                <w:b/>
                <w:sz w:val="22"/>
                <w:szCs w:val="22"/>
              </w:rPr>
            </w:pPr>
            <w:r w:rsidRPr="00C91105">
              <w:rPr>
                <w:b/>
                <w:sz w:val="22"/>
                <w:szCs w:val="22"/>
              </w:rPr>
              <w:t>FISO initiative</w:t>
            </w:r>
          </w:p>
          <w:p w14:paraId="5A9EAF17" w14:textId="77777777" w:rsidR="00B84C8C" w:rsidRPr="00C91105" w:rsidRDefault="00B84C8C" w:rsidP="00B84C8C">
            <w:pPr>
              <w:pStyle w:val="Table-Entry"/>
              <w:numPr>
                <w:ilvl w:val="0"/>
                <w:numId w:val="8"/>
              </w:numPr>
              <w:spacing w:before="60"/>
              <w:rPr>
                <w:b/>
                <w:sz w:val="22"/>
                <w:szCs w:val="22"/>
              </w:rPr>
            </w:pPr>
            <w:r w:rsidRPr="00C91105">
              <w:rPr>
                <w:color w:val="auto"/>
                <w:sz w:val="22"/>
                <w:szCs w:val="22"/>
              </w:rPr>
              <w:t xml:space="preserve">Building leadership teams </w:t>
            </w:r>
          </w:p>
          <w:p w14:paraId="14AFED5C" w14:textId="77777777" w:rsidR="00B84C8C" w:rsidRPr="00C91105" w:rsidRDefault="00B84C8C" w:rsidP="00B84C8C">
            <w:pPr>
              <w:pStyle w:val="Table-Entry"/>
              <w:spacing w:before="60"/>
              <w:rPr>
                <w:b/>
                <w:sz w:val="22"/>
                <w:szCs w:val="22"/>
              </w:rPr>
            </w:pPr>
            <w:r w:rsidRPr="00C91105">
              <w:rPr>
                <w:b/>
                <w:sz w:val="22"/>
                <w:szCs w:val="22"/>
              </w:rPr>
              <w:t>FISO dimension</w:t>
            </w:r>
          </w:p>
          <w:p w14:paraId="506A3D10" w14:textId="77777777" w:rsidR="00B84C8C" w:rsidRPr="00C91105" w:rsidRDefault="00B84C8C" w:rsidP="00B84C8C">
            <w:r w:rsidRPr="00C91105">
              <w:t>Instructional and shared leadership</w:t>
            </w:r>
          </w:p>
          <w:p w14:paraId="496E157A" w14:textId="77777777" w:rsidR="00B84C8C" w:rsidRPr="00C91105" w:rsidRDefault="00B84C8C" w:rsidP="00B84C8C"/>
          <w:p w14:paraId="5620A8A1" w14:textId="16B56EF3" w:rsidR="00B84C8C" w:rsidRPr="00C91105" w:rsidRDefault="00B84C8C" w:rsidP="00B84C8C"/>
        </w:tc>
        <w:tc>
          <w:tcPr>
            <w:tcW w:w="6615" w:type="dxa"/>
            <w:shd w:val="clear" w:color="auto" w:fill="auto"/>
          </w:tcPr>
          <w:p w14:paraId="393B1E5B" w14:textId="77777777" w:rsidR="00B84C8C" w:rsidRPr="00C91105" w:rsidRDefault="00B84C8C" w:rsidP="00B84C8C">
            <w:pPr>
              <w:pStyle w:val="Table-Entry"/>
              <w:numPr>
                <w:ilvl w:val="0"/>
                <w:numId w:val="9"/>
              </w:numPr>
              <w:tabs>
                <w:tab w:val="clear" w:pos="205"/>
              </w:tabs>
              <w:spacing w:before="60"/>
              <w:rPr>
                <w:b/>
                <w:sz w:val="22"/>
                <w:szCs w:val="22"/>
              </w:rPr>
            </w:pPr>
            <w:r w:rsidRPr="00C91105">
              <w:rPr>
                <w:b/>
                <w:sz w:val="22"/>
                <w:szCs w:val="22"/>
              </w:rPr>
              <w:t>Review and refine whole school differentiated approaches to Literacy and Numeracy</w:t>
            </w:r>
          </w:p>
          <w:p w14:paraId="4BB2B005" w14:textId="5B7D3898" w:rsidR="00B84C8C" w:rsidRPr="00C91105" w:rsidRDefault="00B84C8C" w:rsidP="00A05F71">
            <w:pPr>
              <w:rPr>
                <w:highlight w:val="lightGray"/>
              </w:rPr>
            </w:pPr>
          </w:p>
          <w:p w14:paraId="6DF1008C" w14:textId="51AEF930" w:rsidR="00B84C8C" w:rsidRPr="00C91105" w:rsidRDefault="00B84C8C" w:rsidP="00A05F71">
            <w:pPr>
              <w:rPr>
                <w:highlight w:val="lightGray"/>
              </w:rPr>
            </w:pPr>
          </w:p>
          <w:p w14:paraId="409A89DE" w14:textId="44D047D8" w:rsidR="00B84C8C" w:rsidRDefault="00B84C8C" w:rsidP="00A05F71">
            <w:pPr>
              <w:rPr>
                <w:highlight w:val="lightGray"/>
              </w:rPr>
            </w:pPr>
          </w:p>
          <w:p w14:paraId="05610F4D" w14:textId="7794AAAD" w:rsidR="00C91105" w:rsidRDefault="00C91105" w:rsidP="00A05F71">
            <w:pPr>
              <w:rPr>
                <w:highlight w:val="lightGray"/>
              </w:rPr>
            </w:pPr>
          </w:p>
          <w:p w14:paraId="1D64A769" w14:textId="77777777" w:rsidR="00C91105" w:rsidRPr="00C91105" w:rsidRDefault="00C91105" w:rsidP="00A05F71">
            <w:pPr>
              <w:rPr>
                <w:highlight w:val="lightGray"/>
              </w:rPr>
            </w:pPr>
          </w:p>
          <w:p w14:paraId="7AC9C884" w14:textId="431C8156" w:rsidR="00B84C8C" w:rsidRDefault="00B84C8C" w:rsidP="00A05F71">
            <w:pPr>
              <w:rPr>
                <w:highlight w:val="lightGray"/>
              </w:rPr>
            </w:pPr>
          </w:p>
          <w:p w14:paraId="379A8746" w14:textId="77777777" w:rsidR="00C91105" w:rsidRPr="00C91105" w:rsidRDefault="00C91105" w:rsidP="00A05F71">
            <w:pPr>
              <w:rPr>
                <w:highlight w:val="lightGray"/>
              </w:rPr>
            </w:pPr>
          </w:p>
          <w:p w14:paraId="6CBEA07B" w14:textId="681F7A21" w:rsidR="00B84C8C" w:rsidRPr="00C91105" w:rsidRDefault="00B84C8C" w:rsidP="00A05F71">
            <w:pPr>
              <w:rPr>
                <w:highlight w:val="lightGray"/>
              </w:rPr>
            </w:pPr>
          </w:p>
          <w:p w14:paraId="22055CF2" w14:textId="70FCF020" w:rsidR="00B84C8C" w:rsidRPr="00C91105" w:rsidRDefault="00B84C8C" w:rsidP="00A05F71">
            <w:pPr>
              <w:rPr>
                <w:highlight w:val="lightGray"/>
              </w:rPr>
            </w:pPr>
          </w:p>
          <w:p w14:paraId="21179892" w14:textId="77777777" w:rsidR="00B84C8C" w:rsidRPr="00C91105" w:rsidRDefault="00B84C8C" w:rsidP="00B84C8C">
            <w:pPr>
              <w:pStyle w:val="Table-Entry"/>
              <w:numPr>
                <w:ilvl w:val="0"/>
                <w:numId w:val="9"/>
              </w:numPr>
              <w:tabs>
                <w:tab w:val="clear" w:pos="205"/>
              </w:tabs>
              <w:spacing w:before="60"/>
              <w:rPr>
                <w:b/>
                <w:sz w:val="22"/>
                <w:szCs w:val="22"/>
              </w:rPr>
            </w:pPr>
            <w:r w:rsidRPr="00C91105">
              <w:rPr>
                <w:b/>
                <w:sz w:val="22"/>
                <w:szCs w:val="22"/>
              </w:rPr>
              <w:t>Build capacity to consistently embed whole school differentiated approaches to Literacy and Numeracy</w:t>
            </w:r>
          </w:p>
          <w:p w14:paraId="54CFD806" w14:textId="783E5685" w:rsidR="00B84C8C" w:rsidRPr="00C91105" w:rsidRDefault="00B84C8C" w:rsidP="00A05F71">
            <w:pPr>
              <w:rPr>
                <w:highlight w:val="lightGray"/>
              </w:rPr>
            </w:pPr>
          </w:p>
          <w:p w14:paraId="0A8A13B9" w14:textId="6E2346CB" w:rsidR="00B84C8C" w:rsidRPr="00C91105" w:rsidRDefault="00B84C8C" w:rsidP="00A05F71">
            <w:pPr>
              <w:rPr>
                <w:highlight w:val="lightGray"/>
              </w:rPr>
            </w:pPr>
          </w:p>
          <w:p w14:paraId="5A5FC87D" w14:textId="279B4F3C" w:rsidR="00B84C8C" w:rsidRPr="00C91105" w:rsidRDefault="00B84C8C" w:rsidP="00A05F71">
            <w:pPr>
              <w:rPr>
                <w:highlight w:val="lightGray"/>
              </w:rPr>
            </w:pPr>
          </w:p>
          <w:p w14:paraId="0C3B72E3" w14:textId="5FB329E2" w:rsidR="00B84C8C" w:rsidRPr="00C91105" w:rsidRDefault="00B84C8C" w:rsidP="00A05F71">
            <w:pPr>
              <w:rPr>
                <w:highlight w:val="lightGray"/>
              </w:rPr>
            </w:pPr>
          </w:p>
          <w:p w14:paraId="775A9E83" w14:textId="6A7FF881" w:rsidR="00B84C8C" w:rsidRPr="00C91105" w:rsidRDefault="00B84C8C" w:rsidP="00A05F71">
            <w:pPr>
              <w:rPr>
                <w:highlight w:val="lightGray"/>
              </w:rPr>
            </w:pPr>
          </w:p>
          <w:p w14:paraId="4A6D62E0" w14:textId="6177086F" w:rsidR="00B84C8C" w:rsidRPr="00C91105" w:rsidRDefault="00B84C8C" w:rsidP="00A05F71">
            <w:pPr>
              <w:rPr>
                <w:highlight w:val="lightGray"/>
              </w:rPr>
            </w:pPr>
          </w:p>
          <w:p w14:paraId="2E8B7B18" w14:textId="37FE095B" w:rsidR="00B84C8C" w:rsidRPr="00C91105" w:rsidRDefault="00B84C8C" w:rsidP="00A05F71">
            <w:pPr>
              <w:rPr>
                <w:highlight w:val="lightGray"/>
              </w:rPr>
            </w:pPr>
          </w:p>
          <w:p w14:paraId="27B9C665" w14:textId="1CFCDE78" w:rsidR="00B84C8C" w:rsidRPr="00C91105" w:rsidRDefault="00B84C8C" w:rsidP="00A05F71">
            <w:pPr>
              <w:rPr>
                <w:highlight w:val="lightGray"/>
              </w:rPr>
            </w:pPr>
          </w:p>
          <w:p w14:paraId="2BEF69E7" w14:textId="397724A9" w:rsidR="00B84C8C" w:rsidRDefault="00B84C8C" w:rsidP="00A05F71">
            <w:pPr>
              <w:rPr>
                <w:highlight w:val="lightGray"/>
              </w:rPr>
            </w:pPr>
          </w:p>
          <w:p w14:paraId="2AC6461B" w14:textId="137C4411" w:rsidR="00C91105" w:rsidRDefault="00C91105" w:rsidP="00A05F71">
            <w:pPr>
              <w:rPr>
                <w:highlight w:val="lightGray"/>
              </w:rPr>
            </w:pPr>
          </w:p>
          <w:p w14:paraId="214BF3E1" w14:textId="77777777" w:rsidR="00C91105" w:rsidRPr="00C91105" w:rsidRDefault="00C91105" w:rsidP="00A05F71">
            <w:pPr>
              <w:rPr>
                <w:highlight w:val="lightGray"/>
              </w:rPr>
            </w:pPr>
          </w:p>
          <w:p w14:paraId="19719F9D" w14:textId="77777777" w:rsidR="00B84C8C" w:rsidRPr="00C91105" w:rsidRDefault="00B84C8C" w:rsidP="00A05F71">
            <w:pPr>
              <w:rPr>
                <w:highlight w:val="lightGray"/>
              </w:rPr>
            </w:pPr>
          </w:p>
          <w:p w14:paraId="449F33D3" w14:textId="77777777" w:rsidR="00B84C8C" w:rsidRPr="00C91105" w:rsidRDefault="00B84C8C" w:rsidP="00B84C8C">
            <w:pPr>
              <w:pStyle w:val="Table-Entry"/>
              <w:numPr>
                <w:ilvl w:val="0"/>
                <w:numId w:val="9"/>
              </w:numPr>
              <w:tabs>
                <w:tab w:val="clear" w:pos="205"/>
              </w:tabs>
              <w:spacing w:before="60"/>
              <w:rPr>
                <w:b/>
                <w:sz w:val="22"/>
                <w:szCs w:val="22"/>
              </w:rPr>
            </w:pPr>
            <w:r w:rsidRPr="00C91105">
              <w:rPr>
                <w:b/>
                <w:sz w:val="22"/>
                <w:szCs w:val="22"/>
              </w:rPr>
              <w:t xml:space="preserve">Investigate and further develop distributed instructional leadership model within resource constraints </w:t>
            </w:r>
          </w:p>
          <w:p w14:paraId="349F1D1E" w14:textId="0909B776" w:rsidR="00B84C8C" w:rsidRPr="00C91105" w:rsidRDefault="00B84C8C" w:rsidP="00A05F71">
            <w:pPr>
              <w:rPr>
                <w:highlight w:val="lightGray"/>
              </w:rPr>
            </w:pPr>
          </w:p>
        </w:tc>
        <w:tc>
          <w:tcPr>
            <w:tcW w:w="6615" w:type="dxa"/>
            <w:shd w:val="clear" w:color="auto" w:fill="auto"/>
          </w:tcPr>
          <w:p w14:paraId="4EDC4E24" w14:textId="77777777" w:rsidR="00C47D3A" w:rsidRPr="00B84C8C" w:rsidRDefault="00C47D3A" w:rsidP="00C47D3A">
            <w:pPr>
              <w:pStyle w:val="NoSpacing"/>
              <w:rPr>
                <w:rFonts w:asciiTheme="minorHAnsi" w:hAnsiTheme="minorHAnsi" w:cstheme="minorHAnsi"/>
                <w:b/>
                <w:sz w:val="22"/>
                <w:szCs w:val="22"/>
              </w:rPr>
            </w:pPr>
            <w:r w:rsidRPr="00B84C8C">
              <w:rPr>
                <w:rFonts w:asciiTheme="minorHAnsi" w:hAnsiTheme="minorHAnsi" w:cstheme="minorHAnsi"/>
                <w:b/>
                <w:sz w:val="22"/>
                <w:szCs w:val="22"/>
              </w:rPr>
              <w:t>Learning growth targets:</w:t>
            </w:r>
          </w:p>
          <w:p w14:paraId="67BF169C" w14:textId="738C7A2F" w:rsidR="00C47D3A" w:rsidRPr="00B84C8C" w:rsidRDefault="00C47D3A" w:rsidP="00C47D3A">
            <w:pPr>
              <w:pStyle w:val="NoSpacing"/>
              <w:rPr>
                <w:rFonts w:asciiTheme="minorHAnsi" w:hAnsiTheme="minorHAnsi" w:cstheme="minorHAnsi"/>
                <w:sz w:val="22"/>
                <w:szCs w:val="22"/>
              </w:rPr>
            </w:pPr>
            <w:r w:rsidRPr="00B84C8C">
              <w:rPr>
                <w:rFonts w:asciiTheme="minorHAnsi" w:hAnsiTheme="minorHAnsi" w:cstheme="minorHAnsi"/>
                <w:b/>
                <w:sz w:val="22"/>
                <w:szCs w:val="22"/>
              </w:rPr>
              <w:t>Teacher judgements:</w:t>
            </w:r>
            <w:r w:rsidRPr="00B84C8C">
              <w:rPr>
                <w:rFonts w:asciiTheme="minorHAnsi" w:hAnsiTheme="minorHAnsi" w:cstheme="minorHAnsi"/>
                <w:sz w:val="22"/>
                <w:szCs w:val="22"/>
              </w:rPr>
              <w:t xml:space="preserve"> </w:t>
            </w:r>
            <w:r w:rsidRPr="00B84C8C">
              <w:rPr>
                <w:rFonts w:asciiTheme="minorHAnsi" w:hAnsiTheme="minorHAnsi" w:cstheme="minorHAnsi"/>
                <w:sz w:val="22"/>
                <w:szCs w:val="22"/>
              </w:rPr>
              <w:br/>
              <w:t xml:space="preserve">Each student to make at least one Victorian Curriculum level of learning progress in each school year during the strategic plan period in English and Mathematics. </w:t>
            </w:r>
            <w:r w:rsidRPr="00B84C8C">
              <w:rPr>
                <w:rFonts w:asciiTheme="minorHAnsi" w:hAnsiTheme="minorHAnsi" w:cstheme="minorHAnsi"/>
                <w:sz w:val="22"/>
                <w:szCs w:val="22"/>
              </w:rPr>
              <w:br/>
              <w:t>(this target would be measured by teacher judgement based on assessment such as Progressive Achievement Tests and other school assessments - triangulated)</w:t>
            </w:r>
          </w:p>
          <w:p w14:paraId="4F8F8D2F" w14:textId="5E90736F" w:rsidR="00C47D3A" w:rsidRPr="00B84C8C" w:rsidRDefault="00C47D3A" w:rsidP="00C47D3A">
            <w:pPr>
              <w:pStyle w:val="NoSpacing"/>
              <w:rPr>
                <w:rFonts w:asciiTheme="minorHAnsi" w:hAnsiTheme="minorHAnsi" w:cstheme="minorHAnsi"/>
                <w:sz w:val="22"/>
                <w:szCs w:val="22"/>
              </w:rPr>
            </w:pPr>
            <w:r w:rsidRPr="00B84C8C">
              <w:rPr>
                <w:rFonts w:asciiTheme="minorHAnsi" w:hAnsiTheme="minorHAnsi" w:cstheme="minorHAnsi"/>
                <w:b/>
                <w:sz w:val="22"/>
                <w:szCs w:val="22"/>
              </w:rPr>
              <w:t>NAPLAN Relative Learning Growth:</w:t>
            </w:r>
            <w:r w:rsidRPr="00B84C8C">
              <w:rPr>
                <w:rFonts w:asciiTheme="minorHAnsi" w:hAnsiTheme="minorHAnsi" w:cstheme="minorHAnsi"/>
                <w:sz w:val="22"/>
                <w:szCs w:val="22"/>
              </w:rPr>
              <w:t xml:space="preserve"> </w:t>
            </w:r>
            <w:r w:rsidRPr="00B84C8C">
              <w:rPr>
                <w:rFonts w:asciiTheme="minorHAnsi" w:hAnsiTheme="minorHAnsi" w:cstheme="minorHAnsi"/>
                <w:sz w:val="22"/>
                <w:szCs w:val="22"/>
              </w:rPr>
              <w:br/>
              <w:t>At least 75 per cent of students attain high or medium gains from Years 3 to 5 in NAPLAN Reading, Writing and Numeracy</w:t>
            </w:r>
          </w:p>
          <w:p w14:paraId="1C389BAD" w14:textId="77777777" w:rsidR="00C47D3A" w:rsidRPr="00B84C8C" w:rsidRDefault="00C47D3A" w:rsidP="00C47D3A">
            <w:pPr>
              <w:pStyle w:val="NoSpacing"/>
              <w:rPr>
                <w:rStyle w:val="Hyperlink"/>
                <w:rFonts w:asciiTheme="minorHAnsi" w:hAnsiTheme="minorHAnsi" w:cstheme="minorHAnsi"/>
                <w:color w:val="auto"/>
                <w:sz w:val="22"/>
                <w:szCs w:val="22"/>
                <w:u w:val="none"/>
              </w:rPr>
            </w:pPr>
            <w:r w:rsidRPr="00B84C8C">
              <w:rPr>
                <w:rFonts w:asciiTheme="minorHAnsi" w:hAnsiTheme="minorHAnsi" w:cstheme="minorHAnsi"/>
                <w:sz w:val="22"/>
                <w:szCs w:val="22"/>
              </w:rPr>
              <w:t xml:space="preserve">Increasing the percentage of Year 3 and 5 students assessed in the top two NAPLAN Bands for their year levels in Reading, Writing and Numeracy based on the </w:t>
            </w:r>
            <w:hyperlink w:anchor="tops" w:history="1">
              <w:r w:rsidRPr="00B84C8C">
                <w:rPr>
                  <w:rStyle w:val="Hyperlink"/>
                  <w:rFonts w:asciiTheme="minorHAnsi" w:hAnsiTheme="minorHAnsi" w:cstheme="minorHAnsi"/>
                  <w:color w:val="auto"/>
                  <w:sz w:val="22"/>
                  <w:szCs w:val="22"/>
                  <w:u w:val="none"/>
                </w:rPr>
                <w:t>average of the past three years’ proportions</w:t>
              </w:r>
            </w:hyperlink>
            <w:r w:rsidRPr="00B84C8C">
              <w:rPr>
                <w:rStyle w:val="Hyperlink"/>
                <w:rFonts w:asciiTheme="minorHAnsi" w:hAnsiTheme="minorHAnsi" w:cstheme="minorHAnsi"/>
                <w:color w:val="auto"/>
                <w:sz w:val="22"/>
                <w:szCs w:val="22"/>
                <w:u w:val="none"/>
              </w:rPr>
              <w:t>.</w:t>
            </w:r>
          </w:p>
          <w:p w14:paraId="0D830F7D" w14:textId="77777777" w:rsidR="00C47D3A" w:rsidRPr="00B84C8C" w:rsidRDefault="00C47D3A" w:rsidP="00C47D3A">
            <w:pPr>
              <w:pStyle w:val="NoSpacing"/>
              <w:rPr>
                <w:rFonts w:asciiTheme="minorHAnsi" w:hAnsiTheme="minorHAnsi" w:cstheme="minorHAnsi"/>
                <w:b/>
                <w:sz w:val="22"/>
                <w:szCs w:val="22"/>
              </w:rPr>
            </w:pPr>
            <w:r w:rsidRPr="00B84C8C">
              <w:rPr>
                <w:rFonts w:asciiTheme="minorHAnsi" w:hAnsiTheme="minorHAnsi" w:cstheme="minorHAnsi"/>
                <w:b/>
                <w:sz w:val="22"/>
                <w:szCs w:val="22"/>
              </w:rPr>
              <w:t>Teacher Judgements:</w:t>
            </w:r>
          </w:p>
          <w:p w14:paraId="77F5F7C3" w14:textId="77777777" w:rsidR="00C47D3A" w:rsidRPr="00B84C8C" w:rsidRDefault="00C47D3A" w:rsidP="00B84C8C">
            <w:pPr>
              <w:pStyle w:val="NoSpacing"/>
              <w:rPr>
                <w:rFonts w:asciiTheme="minorHAnsi" w:hAnsiTheme="minorHAnsi" w:cstheme="minorHAnsi"/>
                <w:sz w:val="22"/>
                <w:szCs w:val="22"/>
              </w:rPr>
            </w:pPr>
            <w:r w:rsidRPr="00B84C8C">
              <w:rPr>
                <w:rFonts w:asciiTheme="minorHAnsi" w:hAnsiTheme="minorHAnsi" w:cstheme="minorHAnsi"/>
                <w:sz w:val="22"/>
                <w:szCs w:val="22"/>
              </w:rPr>
              <w:t>Increase the percentage of students receiving A or B grades by fifteen percentage points</w:t>
            </w:r>
          </w:p>
          <w:p w14:paraId="4D554754" w14:textId="400C1376" w:rsidR="00C47D3A" w:rsidRPr="00B84C8C" w:rsidRDefault="00B6300B" w:rsidP="00B84C8C">
            <w:pPr>
              <w:pStyle w:val="NoSpacing"/>
              <w:rPr>
                <w:rFonts w:asciiTheme="minorHAnsi" w:hAnsiTheme="minorHAnsi" w:cstheme="minorHAnsi"/>
                <w:sz w:val="22"/>
                <w:szCs w:val="22"/>
              </w:rPr>
            </w:pPr>
            <w:r w:rsidRPr="00B84C8C">
              <w:rPr>
                <w:rFonts w:asciiTheme="minorHAnsi" w:hAnsiTheme="minorHAnsi" w:cstheme="minorHAnsi"/>
                <w:sz w:val="22"/>
                <w:szCs w:val="22"/>
              </w:rPr>
              <w:t>Reduce by 50%</w:t>
            </w:r>
            <w:r w:rsidR="00C47D3A" w:rsidRPr="00B84C8C">
              <w:rPr>
                <w:rFonts w:asciiTheme="minorHAnsi" w:hAnsiTheme="minorHAnsi" w:cstheme="minorHAnsi"/>
                <w:sz w:val="22"/>
                <w:szCs w:val="22"/>
              </w:rPr>
              <w:t xml:space="preserve"> the percentage of students receiving D or E g</w:t>
            </w:r>
            <w:r w:rsidR="00B84C8C" w:rsidRPr="00B84C8C">
              <w:rPr>
                <w:rFonts w:asciiTheme="minorHAnsi" w:hAnsiTheme="minorHAnsi" w:cstheme="minorHAnsi"/>
                <w:sz w:val="22"/>
                <w:szCs w:val="22"/>
              </w:rPr>
              <w:t>rades based on 2017 proportions.</w:t>
            </w:r>
          </w:p>
          <w:p w14:paraId="0F2D9D70" w14:textId="76BBF05B" w:rsidR="00B84C8C" w:rsidRPr="00B84C8C" w:rsidRDefault="00B84C8C" w:rsidP="00B84C8C">
            <w:pPr>
              <w:pStyle w:val="NoSpacing"/>
              <w:rPr>
                <w:rFonts w:asciiTheme="minorHAnsi" w:hAnsiTheme="minorHAnsi" w:cstheme="minorHAnsi"/>
                <w:b/>
                <w:sz w:val="22"/>
                <w:szCs w:val="22"/>
              </w:rPr>
            </w:pPr>
            <w:r w:rsidRPr="00B84C8C">
              <w:rPr>
                <w:rFonts w:asciiTheme="minorHAnsi" w:hAnsiTheme="minorHAnsi" w:cstheme="minorHAnsi"/>
                <w:b/>
                <w:sz w:val="22"/>
                <w:szCs w:val="22"/>
              </w:rPr>
              <w:t>NAPLAN:</w:t>
            </w:r>
          </w:p>
          <w:p w14:paraId="5C1419E4" w14:textId="253B7C60" w:rsidR="00B84C8C" w:rsidRDefault="00B84C8C" w:rsidP="00B84C8C">
            <w:pPr>
              <w:pStyle w:val="NoSpacing"/>
              <w:rPr>
                <w:rStyle w:val="Hyperlink"/>
                <w:rFonts w:asciiTheme="minorHAnsi" w:hAnsiTheme="minorHAnsi" w:cstheme="minorHAnsi"/>
                <w:color w:val="auto"/>
                <w:sz w:val="22"/>
                <w:szCs w:val="22"/>
                <w:u w:val="none"/>
              </w:rPr>
            </w:pPr>
            <w:r w:rsidRPr="00B84C8C">
              <w:rPr>
                <w:rFonts w:asciiTheme="minorHAnsi" w:hAnsiTheme="minorHAnsi" w:cstheme="minorHAnsi"/>
                <w:sz w:val="22"/>
                <w:szCs w:val="22"/>
              </w:rPr>
              <w:t xml:space="preserve">Increase the percentage of Year 3 and 5 students assessed in the top two NAPLAN Bands for their year levels in Reading, Writing and Numeracy based on the </w:t>
            </w:r>
            <w:hyperlink w:anchor="tops" w:history="1">
              <w:r w:rsidRPr="00B84C8C">
                <w:rPr>
                  <w:rStyle w:val="Hyperlink"/>
                  <w:rFonts w:asciiTheme="minorHAnsi" w:hAnsiTheme="minorHAnsi" w:cstheme="minorHAnsi"/>
                  <w:color w:val="auto"/>
                  <w:sz w:val="22"/>
                  <w:szCs w:val="22"/>
                  <w:u w:val="none"/>
                </w:rPr>
                <w:t>average of the past three years’ proportions</w:t>
              </w:r>
            </w:hyperlink>
          </w:p>
          <w:p w14:paraId="761F34DB" w14:textId="77777777" w:rsidR="00B84C8C" w:rsidRPr="00B84C8C" w:rsidRDefault="00B84C8C" w:rsidP="00B84C8C">
            <w:pPr>
              <w:pStyle w:val="NoSpacing"/>
              <w:rPr>
                <w:rStyle w:val="Hyperlink"/>
                <w:rFonts w:asciiTheme="minorHAnsi" w:hAnsiTheme="minorHAnsi" w:cstheme="minorHAnsi"/>
                <w:color w:val="auto"/>
                <w:sz w:val="22"/>
                <w:szCs w:val="22"/>
                <w:u w:val="none"/>
              </w:rPr>
            </w:pPr>
          </w:p>
          <w:p w14:paraId="0A323924" w14:textId="41484603" w:rsidR="00B84C8C" w:rsidRPr="00B84C8C" w:rsidRDefault="00B84C8C" w:rsidP="00B84C8C">
            <w:pPr>
              <w:pStyle w:val="Table-Entry"/>
              <w:numPr>
                <w:ilvl w:val="1"/>
                <w:numId w:val="7"/>
              </w:numPr>
              <w:tabs>
                <w:tab w:val="clear" w:pos="205"/>
              </w:tabs>
              <w:spacing w:before="60"/>
              <w:rPr>
                <w:rStyle w:val="Hyperlink"/>
                <w:rFonts w:cstheme="minorHAnsi"/>
                <w:color w:val="auto"/>
                <w:sz w:val="22"/>
                <w:szCs w:val="22"/>
              </w:rPr>
            </w:pPr>
            <w:r w:rsidRPr="00B84C8C">
              <w:rPr>
                <w:rStyle w:val="Hyperlink"/>
                <w:rFonts w:cstheme="minorHAnsi"/>
                <w:color w:val="auto"/>
                <w:sz w:val="22"/>
                <w:szCs w:val="22"/>
              </w:rPr>
              <w:t xml:space="preserve">10 per cent increase in percentages of </w:t>
            </w:r>
            <w:r w:rsidRPr="00B84C8C">
              <w:rPr>
                <w:rStyle w:val="Hyperlink"/>
                <w:rFonts w:cstheme="minorHAnsi"/>
                <w:b/>
                <w:color w:val="auto"/>
                <w:sz w:val="22"/>
                <w:szCs w:val="22"/>
              </w:rPr>
              <w:t>Year</w:t>
            </w:r>
            <w:r w:rsidRPr="00B84C8C">
              <w:rPr>
                <w:rStyle w:val="Hyperlink"/>
                <w:rFonts w:cstheme="minorHAnsi"/>
                <w:color w:val="auto"/>
                <w:sz w:val="22"/>
                <w:szCs w:val="22"/>
              </w:rPr>
              <w:t xml:space="preserve"> </w:t>
            </w:r>
            <w:r w:rsidRPr="00B84C8C">
              <w:rPr>
                <w:rStyle w:val="Hyperlink"/>
                <w:rFonts w:cstheme="minorHAnsi"/>
                <w:b/>
                <w:color w:val="auto"/>
                <w:sz w:val="22"/>
                <w:szCs w:val="22"/>
              </w:rPr>
              <w:t>3</w:t>
            </w:r>
            <w:r w:rsidRPr="00B84C8C">
              <w:rPr>
                <w:rStyle w:val="Hyperlink"/>
                <w:rFonts w:cstheme="minorHAnsi"/>
                <w:color w:val="auto"/>
                <w:sz w:val="22"/>
                <w:szCs w:val="22"/>
              </w:rPr>
              <w:t xml:space="preserve"> students in the top two NAPLAN Bands:</w:t>
            </w:r>
          </w:p>
          <w:tbl>
            <w:tblPr>
              <w:tblStyle w:val="TableGrid"/>
              <w:tblW w:w="0" w:type="auto"/>
              <w:tblInd w:w="227" w:type="dxa"/>
              <w:tblLook w:val="04A0" w:firstRow="1" w:lastRow="0" w:firstColumn="1" w:lastColumn="0" w:noHBand="0" w:noVBand="1"/>
            </w:tblPr>
            <w:tblGrid>
              <w:gridCol w:w="1551"/>
              <w:gridCol w:w="1732"/>
              <w:gridCol w:w="2879"/>
            </w:tblGrid>
            <w:tr w:rsidR="00B84C8C" w:rsidRPr="00B84C8C" w14:paraId="3D971105" w14:textId="77777777" w:rsidTr="006D636A">
              <w:tc>
                <w:tcPr>
                  <w:tcW w:w="0" w:type="auto"/>
                </w:tcPr>
                <w:p w14:paraId="43C6D07A" w14:textId="77777777" w:rsidR="00B84C8C" w:rsidRPr="00B84C8C" w:rsidRDefault="00B84C8C" w:rsidP="00B84C8C">
                  <w:pPr>
                    <w:pStyle w:val="Table-Entry"/>
                    <w:tabs>
                      <w:tab w:val="clear" w:pos="205"/>
                    </w:tabs>
                    <w:rPr>
                      <w:rStyle w:val="Hyperlink"/>
                      <w:rFonts w:cstheme="minorHAnsi"/>
                      <w:b/>
                      <w:color w:val="auto"/>
                      <w:sz w:val="22"/>
                      <w:szCs w:val="22"/>
                    </w:rPr>
                  </w:pPr>
                  <w:r w:rsidRPr="00B84C8C">
                    <w:rPr>
                      <w:rStyle w:val="Hyperlink"/>
                      <w:rFonts w:cstheme="minorHAnsi"/>
                      <w:b/>
                      <w:color w:val="auto"/>
                      <w:sz w:val="22"/>
                      <w:szCs w:val="22"/>
                    </w:rPr>
                    <w:t>NAPLAN dimension</w:t>
                  </w:r>
                </w:p>
              </w:tc>
              <w:tc>
                <w:tcPr>
                  <w:tcW w:w="0" w:type="auto"/>
                  <w:vAlign w:val="center"/>
                </w:tcPr>
                <w:p w14:paraId="3D38AD37" w14:textId="77777777" w:rsidR="00B84C8C" w:rsidRPr="00B84C8C" w:rsidRDefault="00B84C8C" w:rsidP="00B84C8C">
                  <w:pPr>
                    <w:pStyle w:val="Table-Entry"/>
                    <w:tabs>
                      <w:tab w:val="clear" w:pos="205"/>
                    </w:tabs>
                    <w:jc w:val="center"/>
                    <w:rPr>
                      <w:rStyle w:val="Hyperlink"/>
                      <w:rFonts w:cstheme="minorHAnsi"/>
                      <w:color w:val="auto"/>
                      <w:sz w:val="22"/>
                      <w:szCs w:val="22"/>
                    </w:rPr>
                  </w:pPr>
                  <w:r w:rsidRPr="00B84C8C">
                    <w:rPr>
                      <w:rStyle w:val="Hyperlink"/>
                      <w:rFonts w:cstheme="minorHAnsi"/>
                      <w:color w:val="auto"/>
                      <w:sz w:val="22"/>
                      <w:szCs w:val="22"/>
                    </w:rPr>
                    <w:t xml:space="preserve">Average 2015-2017 % </w:t>
                  </w:r>
                </w:p>
                <w:p w14:paraId="4259E91A" w14:textId="77777777" w:rsidR="00B84C8C" w:rsidRPr="00B84C8C" w:rsidRDefault="00B84C8C" w:rsidP="00B84C8C">
                  <w:pPr>
                    <w:pStyle w:val="Table-Entry"/>
                    <w:tabs>
                      <w:tab w:val="clear" w:pos="205"/>
                    </w:tabs>
                    <w:jc w:val="center"/>
                    <w:rPr>
                      <w:rStyle w:val="Hyperlink"/>
                      <w:rFonts w:cstheme="minorHAnsi"/>
                      <w:color w:val="auto"/>
                      <w:sz w:val="22"/>
                      <w:szCs w:val="22"/>
                    </w:rPr>
                  </w:pPr>
                  <w:r w:rsidRPr="00B84C8C">
                    <w:rPr>
                      <w:rStyle w:val="Hyperlink"/>
                      <w:rFonts w:cstheme="minorHAnsi"/>
                      <w:color w:val="auto"/>
                      <w:sz w:val="22"/>
                      <w:szCs w:val="22"/>
                    </w:rPr>
                    <w:t>(Benchmark)</w:t>
                  </w:r>
                </w:p>
              </w:tc>
              <w:tc>
                <w:tcPr>
                  <w:tcW w:w="0" w:type="auto"/>
                  <w:vAlign w:val="center"/>
                </w:tcPr>
                <w:p w14:paraId="0E506749" w14:textId="77777777" w:rsidR="00B84C8C" w:rsidRPr="00B84C8C" w:rsidRDefault="00B84C8C" w:rsidP="00B84C8C">
                  <w:pPr>
                    <w:pStyle w:val="Table-Entry"/>
                    <w:tabs>
                      <w:tab w:val="clear" w:pos="205"/>
                    </w:tabs>
                    <w:jc w:val="center"/>
                    <w:rPr>
                      <w:rStyle w:val="Hyperlink"/>
                      <w:rFonts w:cstheme="minorHAnsi"/>
                      <w:b/>
                      <w:color w:val="auto"/>
                      <w:sz w:val="22"/>
                      <w:szCs w:val="22"/>
                    </w:rPr>
                  </w:pPr>
                  <w:r w:rsidRPr="00B84C8C">
                    <w:rPr>
                      <w:rStyle w:val="Hyperlink"/>
                      <w:rFonts w:cstheme="minorHAnsi"/>
                      <w:b/>
                      <w:color w:val="auto"/>
                      <w:sz w:val="22"/>
                      <w:szCs w:val="22"/>
                    </w:rPr>
                    <w:t>Target based on 10% increase (=Average*1.1)</w:t>
                  </w:r>
                </w:p>
              </w:tc>
            </w:tr>
            <w:tr w:rsidR="00B84C8C" w:rsidRPr="00B84C8C" w14:paraId="2A06DCD9" w14:textId="77777777" w:rsidTr="006D636A">
              <w:tc>
                <w:tcPr>
                  <w:tcW w:w="0" w:type="auto"/>
                </w:tcPr>
                <w:p w14:paraId="6774BAD1" w14:textId="77777777" w:rsidR="00B84C8C" w:rsidRPr="00B84C8C" w:rsidRDefault="00B84C8C" w:rsidP="00B84C8C">
                  <w:pPr>
                    <w:pStyle w:val="Table-Entry"/>
                    <w:tabs>
                      <w:tab w:val="clear" w:pos="205"/>
                    </w:tabs>
                    <w:rPr>
                      <w:rStyle w:val="Hyperlink"/>
                      <w:rFonts w:cstheme="minorHAnsi"/>
                      <w:color w:val="auto"/>
                      <w:sz w:val="22"/>
                      <w:szCs w:val="22"/>
                    </w:rPr>
                  </w:pPr>
                  <w:r w:rsidRPr="00B84C8C">
                    <w:rPr>
                      <w:rStyle w:val="Hyperlink"/>
                      <w:rFonts w:cstheme="minorHAnsi"/>
                      <w:color w:val="auto"/>
                      <w:sz w:val="22"/>
                      <w:szCs w:val="22"/>
                    </w:rPr>
                    <w:t>Reading</w:t>
                  </w:r>
                </w:p>
              </w:tc>
              <w:tc>
                <w:tcPr>
                  <w:tcW w:w="0" w:type="auto"/>
                  <w:vAlign w:val="center"/>
                </w:tcPr>
                <w:p w14:paraId="042FC124" w14:textId="77777777" w:rsidR="00B84C8C" w:rsidRPr="00B84C8C" w:rsidRDefault="00B84C8C" w:rsidP="00B84C8C">
                  <w:pPr>
                    <w:pStyle w:val="Table-Entry"/>
                    <w:tabs>
                      <w:tab w:val="clear" w:pos="205"/>
                    </w:tabs>
                    <w:jc w:val="center"/>
                    <w:rPr>
                      <w:rStyle w:val="Hyperlink"/>
                      <w:rFonts w:cstheme="minorHAnsi"/>
                      <w:sz w:val="22"/>
                      <w:szCs w:val="22"/>
                    </w:rPr>
                  </w:pPr>
                  <w:r w:rsidRPr="00B84C8C">
                    <w:rPr>
                      <w:rFonts w:cstheme="minorHAnsi"/>
                      <w:bCs/>
                      <w:sz w:val="22"/>
                      <w:szCs w:val="22"/>
                      <w:lang w:bidi="mr-IN"/>
                    </w:rPr>
                    <w:t>56%</w:t>
                  </w:r>
                </w:p>
              </w:tc>
              <w:tc>
                <w:tcPr>
                  <w:tcW w:w="0" w:type="auto"/>
                  <w:vAlign w:val="center"/>
                </w:tcPr>
                <w:p w14:paraId="3711340E" w14:textId="77777777" w:rsidR="00B84C8C" w:rsidRPr="00B84C8C" w:rsidRDefault="00B84C8C" w:rsidP="00B84C8C">
                  <w:pPr>
                    <w:pStyle w:val="Table-Entry"/>
                    <w:tabs>
                      <w:tab w:val="clear" w:pos="205"/>
                    </w:tabs>
                    <w:jc w:val="center"/>
                    <w:rPr>
                      <w:rStyle w:val="Hyperlink"/>
                      <w:rFonts w:cstheme="minorHAnsi"/>
                      <w:b/>
                      <w:sz w:val="22"/>
                      <w:szCs w:val="22"/>
                    </w:rPr>
                  </w:pPr>
                  <w:r w:rsidRPr="00B84C8C">
                    <w:rPr>
                      <w:rFonts w:cstheme="minorHAnsi"/>
                      <w:b/>
                      <w:bCs/>
                      <w:sz w:val="22"/>
                      <w:szCs w:val="22"/>
                      <w:lang w:bidi="mr-IN"/>
                    </w:rPr>
                    <w:t>62%</w:t>
                  </w:r>
                </w:p>
              </w:tc>
            </w:tr>
            <w:tr w:rsidR="00B84C8C" w:rsidRPr="00B84C8C" w14:paraId="48259756" w14:textId="77777777" w:rsidTr="006D636A">
              <w:trPr>
                <w:trHeight w:val="214"/>
              </w:trPr>
              <w:tc>
                <w:tcPr>
                  <w:tcW w:w="0" w:type="auto"/>
                </w:tcPr>
                <w:p w14:paraId="6453298D" w14:textId="77777777" w:rsidR="00B84C8C" w:rsidRPr="00B84C8C" w:rsidRDefault="00B84C8C" w:rsidP="00B84C8C">
                  <w:pPr>
                    <w:pStyle w:val="Table-Entry"/>
                    <w:tabs>
                      <w:tab w:val="clear" w:pos="205"/>
                    </w:tabs>
                    <w:rPr>
                      <w:rStyle w:val="Hyperlink"/>
                      <w:rFonts w:cstheme="minorHAnsi"/>
                      <w:color w:val="auto"/>
                      <w:sz w:val="22"/>
                      <w:szCs w:val="22"/>
                    </w:rPr>
                  </w:pPr>
                  <w:r w:rsidRPr="00B84C8C">
                    <w:rPr>
                      <w:rStyle w:val="Hyperlink"/>
                      <w:rFonts w:cstheme="minorHAnsi"/>
                      <w:color w:val="auto"/>
                      <w:sz w:val="22"/>
                      <w:szCs w:val="22"/>
                    </w:rPr>
                    <w:t>Writing</w:t>
                  </w:r>
                </w:p>
              </w:tc>
              <w:tc>
                <w:tcPr>
                  <w:tcW w:w="0" w:type="auto"/>
                  <w:vAlign w:val="center"/>
                </w:tcPr>
                <w:p w14:paraId="656DF351" w14:textId="77777777" w:rsidR="00B84C8C" w:rsidRPr="00B84C8C" w:rsidRDefault="00B84C8C" w:rsidP="00B84C8C">
                  <w:pPr>
                    <w:pStyle w:val="Table-Entry"/>
                    <w:tabs>
                      <w:tab w:val="clear" w:pos="205"/>
                    </w:tabs>
                    <w:jc w:val="center"/>
                    <w:rPr>
                      <w:rStyle w:val="Hyperlink"/>
                      <w:rFonts w:cstheme="minorHAnsi"/>
                      <w:sz w:val="22"/>
                      <w:szCs w:val="22"/>
                    </w:rPr>
                  </w:pPr>
                  <w:r w:rsidRPr="00B84C8C">
                    <w:rPr>
                      <w:rFonts w:cstheme="minorHAnsi"/>
                      <w:bCs/>
                      <w:sz w:val="22"/>
                      <w:szCs w:val="22"/>
                      <w:lang w:bidi="mr-IN"/>
                    </w:rPr>
                    <w:t>60%</w:t>
                  </w:r>
                </w:p>
              </w:tc>
              <w:tc>
                <w:tcPr>
                  <w:tcW w:w="0" w:type="auto"/>
                  <w:vAlign w:val="center"/>
                </w:tcPr>
                <w:p w14:paraId="461C563F" w14:textId="77777777" w:rsidR="00B84C8C" w:rsidRPr="00B84C8C" w:rsidRDefault="00B84C8C" w:rsidP="00B84C8C">
                  <w:pPr>
                    <w:pStyle w:val="Table-Entry"/>
                    <w:tabs>
                      <w:tab w:val="clear" w:pos="205"/>
                    </w:tabs>
                    <w:jc w:val="center"/>
                    <w:rPr>
                      <w:rStyle w:val="Hyperlink"/>
                      <w:rFonts w:cstheme="minorHAnsi"/>
                      <w:b/>
                      <w:sz w:val="22"/>
                      <w:szCs w:val="22"/>
                    </w:rPr>
                  </w:pPr>
                  <w:r w:rsidRPr="00B84C8C">
                    <w:rPr>
                      <w:rFonts w:cstheme="minorHAnsi"/>
                      <w:b/>
                      <w:bCs/>
                      <w:sz w:val="22"/>
                      <w:szCs w:val="22"/>
                      <w:lang w:bidi="mr-IN"/>
                    </w:rPr>
                    <w:t>66%</w:t>
                  </w:r>
                </w:p>
              </w:tc>
            </w:tr>
            <w:tr w:rsidR="00B84C8C" w:rsidRPr="00B84C8C" w14:paraId="11BFD182" w14:textId="77777777" w:rsidTr="006D636A">
              <w:tc>
                <w:tcPr>
                  <w:tcW w:w="0" w:type="auto"/>
                </w:tcPr>
                <w:p w14:paraId="652BA006" w14:textId="77777777" w:rsidR="00B84C8C" w:rsidRPr="00B84C8C" w:rsidRDefault="00B84C8C" w:rsidP="00B84C8C">
                  <w:pPr>
                    <w:pStyle w:val="Table-Entry"/>
                    <w:tabs>
                      <w:tab w:val="clear" w:pos="205"/>
                    </w:tabs>
                    <w:rPr>
                      <w:rStyle w:val="Hyperlink"/>
                      <w:rFonts w:cstheme="minorHAnsi"/>
                      <w:color w:val="auto"/>
                      <w:sz w:val="22"/>
                      <w:szCs w:val="22"/>
                    </w:rPr>
                  </w:pPr>
                  <w:r w:rsidRPr="00B84C8C">
                    <w:rPr>
                      <w:rStyle w:val="Hyperlink"/>
                      <w:rFonts w:cstheme="minorHAnsi"/>
                      <w:color w:val="auto"/>
                      <w:sz w:val="22"/>
                      <w:szCs w:val="22"/>
                    </w:rPr>
                    <w:t>Numeracy</w:t>
                  </w:r>
                </w:p>
              </w:tc>
              <w:tc>
                <w:tcPr>
                  <w:tcW w:w="0" w:type="auto"/>
                  <w:vAlign w:val="center"/>
                </w:tcPr>
                <w:p w14:paraId="55A6E197" w14:textId="77777777" w:rsidR="00B84C8C" w:rsidRPr="00B84C8C" w:rsidRDefault="00B84C8C" w:rsidP="00B84C8C">
                  <w:pPr>
                    <w:pStyle w:val="Table-Entry"/>
                    <w:tabs>
                      <w:tab w:val="clear" w:pos="205"/>
                    </w:tabs>
                    <w:jc w:val="center"/>
                    <w:rPr>
                      <w:rStyle w:val="Hyperlink"/>
                      <w:rFonts w:cstheme="minorHAnsi"/>
                      <w:sz w:val="22"/>
                      <w:szCs w:val="22"/>
                    </w:rPr>
                  </w:pPr>
                  <w:r w:rsidRPr="00B84C8C">
                    <w:rPr>
                      <w:rFonts w:cstheme="minorHAnsi"/>
                      <w:bCs/>
                      <w:sz w:val="22"/>
                      <w:szCs w:val="22"/>
                      <w:lang w:bidi="mr-IN"/>
                    </w:rPr>
                    <w:t>42%</w:t>
                  </w:r>
                </w:p>
              </w:tc>
              <w:tc>
                <w:tcPr>
                  <w:tcW w:w="0" w:type="auto"/>
                  <w:vAlign w:val="center"/>
                </w:tcPr>
                <w:p w14:paraId="7E294EC5" w14:textId="77777777" w:rsidR="00B84C8C" w:rsidRPr="00B84C8C" w:rsidRDefault="00B84C8C" w:rsidP="00B84C8C">
                  <w:pPr>
                    <w:pStyle w:val="Table-Entry"/>
                    <w:tabs>
                      <w:tab w:val="clear" w:pos="205"/>
                    </w:tabs>
                    <w:jc w:val="center"/>
                    <w:rPr>
                      <w:rStyle w:val="Hyperlink"/>
                      <w:rFonts w:cstheme="minorHAnsi"/>
                      <w:b/>
                      <w:sz w:val="22"/>
                      <w:szCs w:val="22"/>
                    </w:rPr>
                  </w:pPr>
                  <w:r w:rsidRPr="00B84C8C">
                    <w:rPr>
                      <w:rFonts w:cstheme="minorHAnsi"/>
                      <w:b/>
                      <w:bCs/>
                      <w:sz w:val="22"/>
                      <w:szCs w:val="22"/>
                      <w:lang w:bidi="mr-IN"/>
                    </w:rPr>
                    <w:t>47%</w:t>
                  </w:r>
                </w:p>
              </w:tc>
            </w:tr>
          </w:tbl>
          <w:p w14:paraId="06D5181C" w14:textId="655515FC" w:rsidR="00B84C8C" w:rsidRPr="00B84C8C" w:rsidRDefault="00B84C8C" w:rsidP="00B84C8C">
            <w:pPr>
              <w:pStyle w:val="Table-Entry"/>
              <w:numPr>
                <w:ilvl w:val="1"/>
                <w:numId w:val="7"/>
              </w:numPr>
              <w:tabs>
                <w:tab w:val="clear" w:pos="205"/>
              </w:tabs>
              <w:spacing w:before="60"/>
              <w:rPr>
                <w:rStyle w:val="Hyperlink"/>
                <w:rFonts w:cstheme="minorHAnsi"/>
                <w:color w:val="auto"/>
                <w:sz w:val="22"/>
                <w:szCs w:val="22"/>
              </w:rPr>
            </w:pPr>
            <w:r w:rsidRPr="00B84C8C">
              <w:rPr>
                <w:rStyle w:val="Hyperlink"/>
                <w:rFonts w:cstheme="minorHAnsi"/>
                <w:color w:val="auto"/>
                <w:sz w:val="22"/>
                <w:szCs w:val="22"/>
              </w:rPr>
              <w:t xml:space="preserve">10 per cent increase in percentages of </w:t>
            </w:r>
            <w:r w:rsidRPr="00B84C8C">
              <w:rPr>
                <w:rStyle w:val="Hyperlink"/>
                <w:rFonts w:cstheme="minorHAnsi"/>
                <w:b/>
                <w:color w:val="auto"/>
                <w:sz w:val="22"/>
                <w:szCs w:val="22"/>
              </w:rPr>
              <w:t>Year 5</w:t>
            </w:r>
            <w:r w:rsidRPr="00B84C8C">
              <w:rPr>
                <w:rStyle w:val="Hyperlink"/>
                <w:rFonts w:cstheme="minorHAnsi"/>
                <w:color w:val="auto"/>
                <w:sz w:val="22"/>
                <w:szCs w:val="22"/>
              </w:rPr>
              <w:t xml:space="preserve"> students in the top two NAPLAN Bands:</w:t>
            </w:r>
          </w:p>
          <w:tbl>
            <w:tblPr>
              <w:tblStyle w:val="TableGrid"/>
              <w:tblW w:w="0" w:type="auto"/>
              <w:tblInd w:w="227" w:type="dxa"/>
              <w:tblLook w:val="04A0" w:firstRow="1" w:lastRow="0" w:firstColumn="1" w:lastColumn="0" w:noHBand="0" w:noVBand="1"/>
            </w:tblPr>
            <w:tblGrid>
              <w:gridCol w:w="1285"/>
              <w:gridCol w:w="1478"/>
              <w:gridCol w:w="1982"/>
              <w:gridCol w:w="1417"/>
            </w:tblGrid>
            <w:tr w:rsidR="00B84C8C" w:rsidRPr="00B84C8C" w14:paraId="3DC4F569" w14:textId="77777777" w:rsidTr="006D636A">
              <w:tc>
                <w:tcPr>
                  <w:tcW w:w="0" w:type="auto"/>
                </w:tcPr>
                <w:p w14:paraId="380AA045" w14:textId="77777777" w:rsidR="00B84C8C" w:rsidRPr="00B84C8C" w:rsidRDefault="00B84C8C" w:rsidP="00B84C8C">
                  <w:pPr>
                    <w:pStyle w:val="Table-Entry"/>
                    <w:tabs>
                      <w:tab w:val="clear" w:pos="205"/>
                    </w:tabs>
                    <w:rPr>
                      <w:rStyle w:val="Hyperlink"/>
                      <w:rFonts w:cstheme="minorHAnsi"/>
                      <w:b/>
                      <w:color w:val="auto"/>
                      <w:sz w:val="22"/>
                      <w:szCs w:val="22"/>
                    </w:rPr>
                  </w:pPr>
                  <w:r w:rsidRPr="00B84C8C">
                    <w:rPr>
                      <w:rStyle w:val="Hyperlink"/>
                      <w:rFonts w:cstheme="minorHAnsi"/>
                      <w:b/>
                      <w:color w:val="auto"/>
                      <w:sz w:val="22"/>
                      <w:szCs w:val="22"/>
                    </w:rPr>
                    <w:t>NAPLAN dimension</w:t>
                  </w:r>
                </w:p>
              </w:tc>
              <w:tc>
                <w:tcPr>
                  <w:tcW w:w="0" w:type="auto"/>
                  <w:vAlign w:val="center"/>
                </w:tcPr>
                <w:p w14:paraId="0AB35674" w14:textId="77777777" w:rsidR="00B84C8C" w:rsidRPr="00B84C8C" w:rsidRDefault="00B84C8C" w:rsidP="00B84C8C">
                  <w:pPr>
                    <w:pStyle w:val="Table-Entry"/>
                    <w:tabs>
                      <w:tab w:val="clear" w:pos="205"/>
                    </w:tabs>
                    <w:jc w:val="center"/>
                    <w:rPr>
                      <w:rStyle w:val="Hyperlink"/>
                      <w:rFonts w:cstheme="minorHAnsi"/>
                      <w:color w:val="auto"/>
                      <w:sz w:val="22"/>
                      <w:szCs w:val="22"/>
                    </w:rPr>
                  </w:pPr>
                  <w:r w:rsidRPr="00B84C8C">
                    <w:rPr>
                      <w:rStyle w:val="Hyperlink"/>
                      <w:rFonts w:cstheme="minorHAnsi"/>
                      <w:color w:val="auto"/>
                      <w:sz w:val="22"/>
                      <w:szCs w:val="22"/>
                    </w:rPr>
                    <w:t xml:space="preserve">Average 2015 -2017 % </w:t>
                  </w:r>
                </w:p>
                <w:p w14:paraId="1D085C63" w14:textId="77777777" w:rsidR="00B84C8C" w:rsidRPr="00B84C8C" w:rsidRDefault="00B84C8C" w:rsidP="00B84C8C">
                  <w:pPr>
                    <w:pStyle w:val="Table-Entry"/>
                    <w:tabs>
                      <w:tab w:val="clear" w:pos="205"/>
                    </w:tabs>
                    <w:jc w:val="center"/>
                    <w:rPr>
                      <w:rStyle w:val="Hyperlink"/>
                      <w:rFonts w:cstheme="minorHAnsi"/>
                      <w:color w:val="auto"/>
                      <w:sz w:val="22"/>
                      <w:szCs w:val="22"/>
                    </w:rPr>
                  </w:pPr>
                  <w:r w:rsidRPr="00B84C8C">
                    <w:rPr>
                      <w:rStyle w:val="Hyperlink"/>
                      <w:rFonts w:cstheme="minorHAnsi"/>
                      <w:color w:val="auto"/>
                      <w:sz w:val="22"/>
                      <w:szCs w:val="22"/>
                    </w:rPr>
                    <w:t>(Benchmark)</w:t>
                  </w:r>
                </w:p>
              </w:tc>
              <w:tc>
                <w:tcPr>
                  <w:tcW w:w="0" w:type="auto"/>
                  <w:vAlign w:val="center"/>
                </w:tcPr>
                <w:p w14:paraId="64CCF6F0" w14:textId="77777777" w:rsidR="00B84C8C" w:rsidRPr="00B84C8C" w:rsidRDefault="00B84C8C" w:rsidP="00B84C8C">
                  <w:pPr>
                    <w:pStyle w:val="Table-Entry"/>
                    <w:tabs>
                      <w:tab w:val="clear" w:pos="205"/>
                    </w:tabs>
                    <w:jc w:val="center"/>
                    <w:rPr>
                      <w:rStyle w:val="Hyperlink"/>
                      <w:rFonts w:cstheme="minorHAnsi"/>
                      <w:b/>
                      <w:color w:val="auto"/>
                      <w:sz w:val="22"/>
                      <w:szCs w:val="22"/>
                    </w:rPr>
                  </w:pPr>
                  <w:r w:rsidRPr="00B84C8C">
                    <w:rPr>
                      <w:rStyle w:val="Hyperlink"/>
                      <w:rFonts w:cstheme="minorHAnsi"/>
                      <w:b/>
                      <w:color w:val="auto"/>
                      <w:sz w:val="22"/>
                      <w:szCs w:val="22"/>
                    </w:rPr>
                    <w:t>Target based on 10% increase (=Average*1.1)</w:t>
                  </w:r>
                </w:p>
              </w:tc>
              <w:tc>
                <w:tcPr>
                  <w:tcW w:w="0" w:type="auto"/>
                </w:tcPr>
                <w:p w14:paraId="262A3F23" w14:textId="77777777" w:rsidR="00B84C8C" w:rsidRPr="00B84C8C" w:rsidRDefault="00B84C8C" w:rsidP="00B84C8C">
                  <w:pPr>
                    <w:pStyle w:val="Table-Entry"/>
                    <w:tabs>
                      <w:tab w:val="clear" w:pos="205"/>
                    </w:tabs>
                    <w:jc w:val="center"/>
                    <w:rPr>
                      <w:rStyle w:val="Hyperlink"/>
                      <w:rFonts w:cstheme="minorHAnsi"/>
                      <w:b/>
                      <w:color w:val="auto"/>
                      <w:sz w:val="22"/>
                      <w:szCs w:val="22"/>
                    </w:rPr>
                  </w:pPr>
                  <w:r w:rsidRPr="00B84C8C">
                    <w:rPr>
                      <w:rStyle w:val="Hyperlink"/>
                      <w:rFonts w:cstheme="minorHAnsi"/>
                      <w:b/>
                      <w:color w:val="auto"/>
                      <w:sz w:val="22"/>
                      <w:szCs w:val="22"/>
                    </w:rPr>
                    <w:t>Target based on getting to 2016 similar schools %</w:t>
                  </w:r>
                </w:p>
              </w:tc>
            </w:tr>
            <w:tr w:rsidR="00B84C8C" w:rsidRPr="00B84C8C" w14:paraId="0D37B124" w14:textId="77777777" w:rsidTr="006D636A">
              <w:tc>
                <w:tcPr>
                  <w:tcW w:w="0" w:type="auto"/>
                </w:tcPr>
                <w:p w14:paraId="480792DD" w14:textId="77777777" w:rsidR="00B84C8C" w:rsidRPr="00B84C8C" w:rsidRDefault="00B84C8C" w:rsidP="00B84C8C">
                  <w:pPr>
                    <w:pStyle w:val="Table-Entry"/>
                    <w:tabs>
                      <w:tab w:val="clear" w:pos="205"/>
                    </w:tabs>
                    <w:rPr>
                      <w:rStyle w:val="Hyperlink"/>
                      <w:rFonts w:cstheme="minorHAnsi"/>
                      <w:color w:val="auto"/>
                      <w:sz w:val="22"/>
                      <w:szCs w:val="22"/>
                    </w:rPr>
                  </w:pPr>
                  <w:r w:rsidRPr="00B84C8C">
                    <w:rPr>
                      <w:rStyle w:val="Hyperlink"/>
                      <w:rFonts w:cstheme="minorHAnsi"/>
                      <w:color w:val="auto"/>
                      <w:sz w:val="22"/>
                      <w:szCs w:val="22"/>
                    </w:rPr>
                    <w:t>Reading</w:t>
                  </w:r>
                </w:p>
              </w:tc>
              <w:tc>
                <w:tcPr>
                  <w:tcW w:w="0" w:type="auto"/>
                  <w:vAlign w:val="center"/>
                </w:tcPr>
                <w:p w14:paraId="6599FA54" w14:textId="77777777" w:rsidR="00B84C8C" w:rsidRPr="00B84C8C" w:rsidRDefault="00B84C8C" w:rsidP="00B84C8C">
                  <w:pPr>
                    <w:pStyle w:val="Table-Entry"/>
                    <w:tabs>
                      <w:tab w:val="clear" w:pos="205"/>
                    </w:tabs>
                    <w:jc w:val="center"/>
                    <w:rPr>
                      <w:rStyle w:val="Hyperlink"/>
                      <w:rFonts w:cstheme="minorHAnsi"/>
                      <w:sz w:val="22"/>
                      <w:szCs w:val="22"/>
                    </w:rPr>
                  </w:pPr>
                  <w:r w:rsidRPr="00B84C8C">
                    <w:rPr>
                      <w:rFonts w:cstheme="minorHAnsi"/>
                      <w:bCs/>
                      <w:sz w:val="22"/>
                      <w:szCs w:val="22"/>
                      <w:lang w:bidi="mr-IN"/>
                    </w:rPr>
                    <w:t>31%</w:t>
                  </w:r>
                </w:p>
              </w:tc>
              <w:tc>
                <w:tcPr>
                  <w:tcW w:w="0" w:type="auto"/>
                  <w:vAlign w:val="center"/>
                </w:tcPr>
                <w:p w14:paraId="5F2564BF" w14:textId="77777777" w:rsidR="00B84C8C" w:rsidRPr="00B84C8C" w:rsidRDefault="00B84C8C" w:rsidP="00B84C8C">
                  <w:pPr>
                    <w:pStyle w:val="Table-Entry"/>
                    <w:tabs>
                      <w:tab w:val="clear" w:pos="205"/>
                    </w:tabs>
                    <w:jc w:val="center"/>
                    <w:rPr>
                      <w:rStyle w:val="Hyperlink"/>
                      <w:rFonts w:cstheme="minorHAnsi"/>
                      <w:b/>
                      <w:sz w:val="22"/>
                      <w:szCs w:val="22"/>
                    </w:rPr>
                  </w:pPr>
                  <w:r w:rsidRPr="00B84C8C">
                    <w:rPr>
                      <w:rFonts w:cstheme="minorHAnsi"/>
                      <w:b/>
                      <w:bCs/>
                      <w:sz w:val="22"/>
                      <w:szCs w:val="22"/>
                      <w:lang w:bidi="mr-IN"/>
                    </w:rPr>
                    <w:t>35%</w:t>
                  </w:r>
                </w:p>
              </w:tc>
              <w:tc>
                <w:tcPr>
                  <w:tcW w:w="0" w:type="auto"/>
                  <w:vAlign w:val="center"/>
                </w:tcPr>
                <w:p w14:paraId="3896D35F" w14:textId="77777777" w:rsidR="00B84C8C" w:rsidRPr="00B84C8C" w:rsidRDefault="00B84C8C" w:rsidP="00B84C8C">
                  <w:pPr>
                    <w:pStyle w:val="Table-Entry"/>
                    <w:tabs>
                      <w:tab w:val="clear" w:pos="205"/>
                    </w:tabs>
                    <w:jc w:val="center"/>
                    <w:rPr>
                      <w:rFonts w:cstheme="minorHAnsi"/>
                      <w:b/>
                      <w:bCs/>
                      <w:sz w:val="22"/>
                      <w:szCs w:val="22"/>
                      <w:lang w:bidi="mr-IN"/>
                    </w:rPr>
                  </w:pPr>
                  <w:r w:rsidRPr="00B84C8C">
                    <w:rPr>
                      <w:rFonts w:cstheme="minorHAnsi"/>
                      <w:b/>
                      <w:bCs/>
                      <w:sz w:val="22"/>
                      <w:szCs w:val="22"/>
                      <w:lang w:bidi="mr-IN"/>
                    </w:rPr>
                    <w:t>39%</w:t>
                  </w:r>
                </w:p>
              </w:tc>
            </w:tr>
            <w:tr w:rsidR="00B84C8C" w:rsidRPr="00B84C8C" w14:paraId="7D13BF92" w14:textId="77777777" w:rsidTr="006D636A">
              <w:trPr>
                <w:trHeight w:val="214"/>
              </w:trPr>
              <w:tc>
                <w:tcPr>
                  <w:tcW w:w="0" w:type="auto"/>
                </w:tcPr>
                <w:p w14:paraId="2C936C73" w14:textId="77777777" w:rsidR="00B84C8C" w:rsidRPr="00B84C8C" w:rsidRDefault="00B84C8C" w:rsidP="00B84C8C">
                  <w:pPr>
                    <w:pStyle w:val="Table-Entry"/>
                    <w:tabs>
                      <w:tab w:val="clear" w:pos="205"/>
                    </w:tabs>
                    <w:rPr>
                      <w:rStyle w:val="Hyperlink"/>
                      <w:rFonts w:cstheme="minorHAnsi"/>
                      <w:color w:val="auto"/>
                      <w:sz w:val="22"/>
                      <w:szCs w:val="22"/>
                    </w:rPr>
                  </w:pPr>
                  <w:r w:rsidRPr="00B84C8C">
                    <w:rPr>
                      <w:rStyle w:val="Hyperlink"/>
                      <w:rFonts w:cstheme="minorHAnsi"/>
                      <w:color w:val="auto"/>
                      <w:sz w:val="22"/>
                      <w:szCs w:val="22"/>
                    </w:rPr>
                    <w:t>Writing</w:t>
                  </w:r>
                </w:p>
              </w:tc>
              <w:tc>
                <w:tcPr>
                  <w:tcW w:w="0" w:type="auto"/>
                  <w:vAlign w:val="center"/>
                </w:tcPr>
                <w:p w14:paraId="2EB43E5C" w14:textId="77777777" w:rsidR="00B84C8C" w:rsidRPr="00B84C8C" w:rsidRDefault="00B84C8C" w:rsidP="00B84C8C">
                  <w:pPr>
                    <w:pStyle w:val="Table-Entry"/>
                    <w:tabs>
                      <w:tab w:val="clear" w:pos="205"/>
                    </w:tabs>
                    <w:jc w:val="center"/>
                    <w:rPr>
                      <w:rStyle w:val="Hyperlink"/>
                      <w:rFonts w:cstheme="minorHAnsi"/>
                      <w:sz w:val="22"/>
                      <w:szCs w:val="22"/>
                    </w:rPr>
                  </w:pPr>
                  <w:r w:rsidRPr="00B84C8C">
                    <w:rPr>
                      <w:rFonts w:cstheme="minorHAnsi"/>
                      <w:bCs/>
                      <w:sz w:val="22"/>
                      <w:szCs w:val="22"/>
                      <w:lang w:bidi="mr-IN"/>
                    </w:rPr>
                    <w:t>14%</w:t>
                  </w:r>
                </w:p>
              </w:tc>
              <w:tc>
                <w:tcPr>
                  <w:tcW w:w="0" w:type="auto"/>
                  <w:vAlign w:val="center"/>
                </w:tcPr>
                <w:p w14:paraId="53C92D4E" w14:textId="77777777" w:rsidR="00B84C8C" w:rsidRPr="00B84C8C" w:rsidRDefault="00B84C8C" w:rsidP="00B84C8C">
                  <w:pPr>
                    <w:pStyle w:val="Table-Entry"/>
                    <w:tabs>
                      <w:tab w:val="clear" w:pos="205"/>
                    </w:tabs>
                    <w:jc w:val="center"/>
                    <w:rPr>
                      <w:rStyle w:val="Hyperlink"/>
                      <w:rFonts w:cstheme="minorHAnsi"/>
                      <w:b/>
                      <w:sz w:val="22"/>
                      <w:szCs w:val="22"/>
                    </w:rPr>
                  </w:pPr>
                  <w:r w:rsidRPr="00B84C8C">
                    <w:rPr>
                      <w:rFonts w:cstheme="minorHAnsi"/>
                      <w:b/>
                      <w:bCs/>
                      <w:sz w:val="22"/>
                      <w:szCs w:val="22"/>
                      <w:lang w:bidi="mr-IN"/>
                    </w:rPr>
                    <w:t>16%*</w:t>
                  </w:r>
                </w:p>
              </w:tc>
              <w:tc>
                <w:tcPr>
                  <w:tcW w:w="0" w:type="auto"/>
                  <w:vAlign w:val="center"/>
                </w:tcPr>
                <w:p w14:paraId="67DBFA07" w14:textId="77777777" w:rsidR="00B84C8C" w:rsidRPr="00B84C8C" w:rsidRDefault="00B84C8C" w:rsidP="00B84C8C">
                  <w:pPr>
                    <w:pStyle w:val="Table-Entry"/>
                    <w:tabs>
                      <w:tab w:val="clear" w:pos="205"/>
                    </w:tabs>
                    <w:jc w:val="center"/>
                    <w:rPr>
                      <w:rFonts w:cstheme="minorHAnsi"/>
                      <w:b/>
                      <w:bCs/>
                      <w:sz w:val="22"/>
                      <w:szCs w:val="22"/>
                      <w:lang w:bidi="mr-IN"/>
                    </w:rPr>
                  </w:pPr>
                  <w:r w:rsidRPr="00B84C8C">
                    <w:rPr>
                      <w:rFonts w:cstheme="minorHAnsi"/>
                      <w:b/>
                      <w:bCs/>
                      <w:sz w:val="22"/>
                      <w:szCs w:val="22"/>
                      <w:lang w:bidi="mr-IN"/>
                    </w:rPr>
                    <w:t>19%</w:t>
                  </w:r>
                </w:p>
              </w:tc>
            </w:tr>
            <w:tr w:rsidR="00B84C8C" w:rsidRPr="00B84C8C" w14:paraId="73DCA0FD" w14:textId="77777777" w:rsidTr="006D636A">
              <w:tc>
                <w:tcPr>
                  <w:tcW w:w="0" w:type="auto"/>
                </w:tcPr>
                <w:p w14:paraId="79A94CDB" w14:textId="77777777" w:rsidR="00B84C8C" w:rsidRPr="00B84C8C" w:rsidRDefault="00B84C8C" w:rsidP="00B84C8C">
                  <w:pPr>
                    <w:pStyle w:val="Table-Entry"/>
                    <w:tabs>
                      <w:tab w:val="clear" w:pos="205"/>
                    </w:tabs>
                    <w:rPr>
                      <w:rStyle w:val="Hyperlink"/>
                      <w:rFonts w:cstheme="minorHAnsi"/>
                      <w:color w:val="auto"/>
                      <w:sz w:val="22"/>
                      <w:szCs w:val="22"/>
                    </w:rPr>
                  </w:pPr>
                  <w:r w:rsidRPr="00B84C8C">
                    <w:rPr>
                      <w:rStyle w:val="Hyperlink"/>
                      <w:rFonts w:cstheme="minorHAnsi"/>
                      <w:color w:val="auto"/>
                      <w:sz w:val="22"/>
                      <w:szCs w:val="22"/>
                    </w:rPr>
                    <w:t>Numeracy</w:t>
                  </w:r>
                </w:p>
              </w:tc>
              <w:tc>
                <w:tcPr>
                  <w:tcW w:w="0" w:type="auto"/>
                  <w:vAlign w:val="center"/>
                </w:tcPr>
                <w:p w14:paraId="6EF66178" w14:textId="77777777" w:rsidR="00B84C8C" w:rsidRPr="00B84C8C" w:rsidRDefault="00B84C8C" w:rsidP="00B84C8C">
                  <w:pPr>
                    <w:pStyle w:val="Table-Entry"/>
                    <w:tabs>
                      <w:tab w:val="clear" w:pos="205"/>
                    </w:tabs>
                    <w:jc w:val="center"/>
                    <w:rPr>
                      <w:rStyle w:val="Hyperlink"/>
                      <w:rFonts w:cstheme="minorHAnsi"/>
                      <w:sz w:val="22"/>
                      <w:szCs w:val="22"/>
                    </w:rPr>
                  </w:pPr>
                  <w:r w:rsidRPr="00B84C8C">
                    <w:rPr>
                      <w:rFonts w:cstheme="minorHAnsi"/>
                      <w:bCs/>
                      <w:sz w:val="22"/>
                      <w:szCs w:val="22"/>
                      <w:lang w:bidi="mr-IN"/>
                    </w:rPr>
                    <w:t>28%</w:t>
                  </w:r>
                </w:p>
              </w:tc>
              <w:tc>
                <w:tcPr>
                  <w:tcW w:w="0" w:type="auto"/>
                  <w:vAlign w:val="center"/>
                </w:tcPr>
                <w:p w14:paraId="7D0638CB" w14:textId="77777777" w:rsidR="00B84C8C" w:rsidRPr="00B84C8C" w:rsidRDefault="00B84C8C" w:rsidP="00B84C8C">
                  <w:pPr>
                    <w:pStyle w:val="Table-Entry"/>
                    <w:tabs>
                      <w:tab w:val="clear" w:pos="205"/>
                    </w:tabs>
                    <w:jc w:val="center"/>
                    <w:rPr>
                      <w:rStyle w:val="Hyperlink"/>
                      <w:rFonts w:cstheme="minorHAnsi"/>
                      <w:b/>
                      <w:sz w:val="22"/>
                      <w:szCs w:val="22"/>
                    </w:rPr>
                  </w:pPr>
                  <w:r w:rsidRPr="00B84C8C">
                    <w:rPr>
                      <w:rFonts w:cstheme="minorHAnsi"/>
                      <w:b/>
                      <w:bCs/>
                      <w:sz w:val="22"/>
                      <w:szCs w:val="22"/>
                      <w:lang w:bidi="mr-IN"/>
                    </w:rPr>
                    <w:t>31%</w:t>
                  </w:r>
                </w:p>
              </w:tc>
              <w:tc>
                <w:tcPr>
                  <w:tcW w:w="0" w:type="auto"/>
                  <w:vAlign w:val="center"/>
                </w:tcPr>
                <w:p w14:paraId="72BDBBDA" w14:textId="77777777" w:rsidR="00B84C8C" w:rsidRPr="00B84C8C" w:rsidRDefault="00B84C8C" w:rsidP="00B84C8C">
                  <w:pPr>
                    <w:pStyle w:val="Table-Entry"/>
                    <w:tabs>
                      <w:tab w:val="clear" w:pos="205"/>
                    </w:tabs>
                    <w:jc w:val="center"/>
                    <w:rPr>
                      <w:rFonts w:cstheme="minorHAnsi"/>
                      <w:b/>
                      <w:bCs/>
                      <w:sz w:val="22"/>
                      <w:szCs w:val="22"/>
                      <w:lang w:bidi="mr-IN"/>
                    </w:rPr>
                  </w:pPr>
                  <w:r w:rsidRPr="00B84C8C">
                    <w:rPr>
                      <w:rFonts w:cstheme="minorHAnsi"/>
                      <w:b/>
                      <w:bCs/>
                      <w:sz w:val="22"/>
                      <w:szCs w:val="22"/>
                      <w:lang w:bidi="mr-IN"/>
                    </w:rPr>
                    <w:t>30%</w:t>
                  </w:r>
                </w:p>
              </w:tc>
            </w:tr>
          </w:tbl>
          <w:p w14:paraId="2E522A84" w14:textId="77777777" w:rsidR="00B84C8C" w:rsidRDefault="00B84C8C" w:rsidP="00B84C8C">
            <w:pPr>
              <w:pStyle w:val="Table-Entry"/>
              <w:tabs>
                <w:tab w:val="clear" w:pos="205"/>
              </w:tabs>
              <w:spacing w:before="60"/>
              <w:rPr>
                <w:rFonts w:cstheme="minorHAnsi"/>
                <w:b/>
                <w:color w:val="auto"/>
                <w:sz w:val="22"/>
                <w:szCs w:val="22"/>
              </w:rPr>
            </w:pPr>
            <w:bookmarkStart w:id="0" w:name="other"/>
            <w:bookmarkStart w:id="1" w:name="NAPLANY35"/>
          </w:p>
          <w:p w14:paraId="7219016B" w14:textId="2961F71F" w:rsidR="00B84C8C" w:rsidRPr="00B84C8C" w:rsidRDefault="00B84C8C" w:rsidP="00B84C8C">
            <w:pPr>
              <w:pStyle w:val="Table-Entry"/>
              <w:tabs>
                <w:tab w:val="clear" w:pos="205"/>
              </w:tabs>
              <w:spacing w:before="60"/>
              <w:rPr>
                <w:rFonts w:cstheme="minorHAnsi"/>
                <w:b/>
                <w:color w:val="auto"/>
                <w:sz w:val="22"/>
                <w:szCs w:val="22"/>
              </w:rPr>
            </w:pPr>
            <w:r>
              <w:rPr>
                <w:rFonts w:cstheme="minorHAnsi"/>
                <w:b/>
                <w:color w:val="auto"/>
                <w:sz w:val="22"/>
                <w:szCs w:val="22"/>
              </w:rPr>
              <w:t>NAPLAN:</w:t>
            </w:r>
          </w:p>
          <w:bookmarkEnd w:id="0"/>
          <w:bookmarkEnd w:id="1"/>
          <w:p w14:paraId="2A536345" w14:textId="0CB2CB47" w:rsidR="00B84C8C" w:rsidRPr="00B84C8C" w:rsidRDefault="00B84C8C" w:rsidP="00B84C8C">
            <w:pPr>
              <w:pStyle w:val="NoSpacing"/>
              <w:rPr>
                <w:rFonts w:asciiTheme="minorHAnsi" w:hAnsiTheme="minorHAnsi" w:cstheme="minorHAnsi"/>
                <w:sz w:val="22"/>
                <w:szCs w:val="22"/>
              </w:rPr>
            </w:pPr>
            <w:r w:rsidRPr="00B84C8C">
              <w:rPr>
                <w:rFonts w:asciiTheme="minorHAnsi" w:hAnsiTheme="minorHAnsi" w:cstheme="minorHAnsi"/>
                <w:sz w:val="22"/>
                <w:szCs w:val="22"/>
              </w:rPr>
              <w:t>Zero percent of Year 3 and 5 students at or below the National Minimum Standards (bottom two NAPLAN Bands).</w:t>
            </w:r>
          </w:p>
          <w:p w14:paraId="2B795408" w14:textId="77777777" w:rsidR="006569E2" w:rsidRDefault="006569E2" w:rsidP="00B84C8C">
            <w:pPr>
              <w:pStyle w:val="NoSpacing"/>
              <w:rPr>
                <w:rFonts w:asciiTheme="minorHAnsi" w:hAnsiTheme="minorHAnsi" w:cstheme="minorHAnsi"/>
                <w:sz w:val="22"/>
                <w:szCs w:val="22"/>
                <w:highlight w:val="lightGray"/>
              </w:rPr>
            </w:pPr>
          </w:p>
          <w:p w14:paraId="62A0F125" w14:textId="77777777" w:rsidR="00B84C8C" w:rsidRDefault="00B84C8C" w:rsidP="00B84C8C">
            <w:pPr>
              <w:pStyle w:val="NoSpacing"/>
              <w:rPr>
                <w:rFonts w:asciiTheme="minorHAnsi" w:hAnsiTheme="minorHAnsi" w:cstheme="minorHAnsi"/>
                <w:sz w:val="22"/>
                <w:szCs w:val="22"/>
                <w:highlight w:val="lightGray"/>
              </w:rPr>
            </w:pPr>
          </w:p>
          <w:p w14:paraId="3C516BD6" w14:textId="038D6679" w:rsidR="00C91105" w:rsidRPr="00B84C8C" w:rsidRDefault="00C91105" w:rsidP="00B84C8C">
            <w:pPr>
              <w:pStyle w:val="NoSpacing"/>
              <w:rPr>
                <w:rFonts w:asciiTheme="minorHAnsi" w:hAnsiTheme="minorHAnsi" w:cstheme="minorHAnsi"/>
                <w:sz w:val="22"/>
                <w:szCs w:val="22"/>
                <w:highlight w:val="lightGray"/>
              </w:rPr>
            </w:pPr>
          </w:p>
        </w:tc>
      </w:tr>
      <w:tr w:rsidR="006569E2" w14:paraId="55335813" w14:textId="61E43A44" w:rsidTr="00665F3B">
        <w:trPr>
          <w:trHeight w:val="441"/>
        </w:trPr>
        <w:tc>
          <w:tcPr>
            <w:tcW w:w="6663" w:type="dxa"/>
            <w:shd w:val="clear" w:color="auto" w:fill="auto"/>
          </w:tcPr>
          <w:p w14:paraId="227358A1" w14:textId="268BB86C" w:rsidR="00B84C8C" w:rsidRPr="00C91105" w:rsidRDefault="00B84C8C" w:rsidP="00B84C8C">
            <w:pPr>
              <w:pStyle w:val="Table-Entry"/>
              <w:spacing w:before="60"/>
              <w:rPr>
                <w:b/>
                <w:color w:val="auto"/>
                <w:sz w:val="24"/>
                <w:szCs w:val="24"/>
              </w:rPr>
            </w:pPr>
            <w:r w:rsidRPr="00C91105">
              <w:rPr>
                <w:b/>
                <w:color w:val="auto"/>
                <w:sz w:val="24"/>
                <w:szCs w:val="24"/>
              </w:rPr>
              <w:lastRenderedPageBreak/>
              <w:t xml:space="preserve">Goals – Student Engagement </w:t>
            </w:r>
          </w:p>
          <w:p w14:paraId="2B4CBC83" w14:textId="55329F16" w:rsidR="00B84C8C" w:rsidRPr="00C91105" w:rsidRDefault="00B84C8C" w:rsidP="00B84C8C">
            <w:pPr>
              <w:rPr>
                <w:rFonts w:cs="Arial"/>
                <w:sz w:val="24"/>
                <w:szCs w:val="24"/>
                <w:lang w:val="en-US"/>
              </w:rPr>
            </w:pPr>
            <w:r w:rsidRPr="00C91105">
              <w:rPr>
                <w:rFonts w:cs="Arial"/>
                <w:sz w:val="24"/>
                <w:szCs w:val="24"/>
                <w:lang w:val="en-US"/>
              </w:rPr>
              <w:t>To develop learners who challenge themselves to advance their learning and demonstrate the school’s Learner Dispositions.</w:t>
            </w:r>
          </w:p>
          <w:p w14:paraId="32FE5185" w14:textId="1ADAB89C" w:rsidR="006569E2" w:rsidRDefault="006569E2" w:rsidP="00274510">
            <w:pPr>
              <w:rPr>
                <w:sz w:val="18"/>
                <w:szCs w:val="18"/>
                <w:highlight w:val="lightGray"/>
              </w:rPr>
            </w:pPr>
          </w:p>
        </w:tc>
        <w:tc>
          <w:tcPr>
            <w:tcW w:w="2694" w:type="dxa"/>
            <w:shd w:val="clear" w:color="auto" w:fill="auto"/>
          </w:tcPr>
          <w:p w14:paraId="21F46FCC" w14:textId="77777777" w:rsidR="00715247" w:rsidRPr="000859A0" w:rsidRDefault="00715247" w:rsidP="00715247">
            <w:pPr>
              <w:pStyle w:val="Table-Entry"/>
              <w:spacing w:before="60"/>
              <w:rPr>
                <w:b/>
                <w:sz w:val="20"/>
                <w:szCs w:val="20"/>
              </w:rPr>
            </w:pPr>
            <w:r w:rsidRPr="000859A0">
              <w:rPr>
                <w:b/>
                <w:sz w:val="20"/>
                <w:szCs w:val="20"/>
              </w:rPr>
              <w:t>FISO Priority</w:t>
            </w:r>
          </w:p>
          <w:p w14:paraId="39719F1B" w14:textId="77777777" w:rsidR="00715247" w:rsidRPr="000859A0" w:rsidRDefault="00715247" w:rsidP="00715247">
            <w:pPr>
              <w:pStyle w:val="Table-Entry"/>
              <w:spacing w:before="60"/>
              <w:rPr>
                <w:sz w:val="20"/>
                <w:szCs w:val="20"/>
              </w:rPr>
            </w:pPr>
            <w:r w:rsidRPr="000859A0">
              <w:rPr>
                <w:sz w:val="20"/>
                <w:szCs w:val="20"/>
              </w:rPr>
              <w:t>Positive climate for learning</w:t>
            </w:r>
          </w:p>
          <w:p w14:paraId="56F198E9" w14:textId="77777777" w:rsidR="00715247" w:rsidRPr="000859A0" w:rsidRDefault="00715247" w:rsidP="00715247">
            <w:pPr>
              <w:pStyle w:val="Table-Entry"/>
              <w:spacing w:before="60"/>
              <w:rPr>
                <w:b/>
                <w:sz w:val="20"/>
                <w:szCs w:val="20"/>
              </w:rPr>
            </w:pPr>
            <w:r w:rsidRPr="000859A0">
              <w:rPr>
                <w:b/>
                <w:sz w:val="20"/>
                <w:szCs w:val="20"/>
              </w:rPr>
              <w:t>FISO initiatives</w:t>
            </w:r>
          </w:p>
          <w:p w14:paraId="0D841523" w14:textId="77777777" w:rsidR="00715247" w:rsidRPr="000859A0" w:rsidRDefault="00715247" w:rsidP="00715247">
            <w:pPr>
              <w:pStyle w:val="Table-Entry"/>
              <w:spacing w:before="60"/>
              <w:rPr>
                <w:sz w:val="20"/>
              </w:rPr>
            </w:pPr>
            <w:r w:rsidRPr="000859A0">
              <w:rPr>
                <w:sz w:val="20"/>
                <w:szCs w:val="20"/>
              </w:rPr>
              <w:t>Empowering students and building school pride initiative</w:t>
            </w:r>
          </w:p>
          <w:p w14:paraId="1F2BA82C" w14:textId="77777777" w:rsidR="00715247" w:rsidRPr="000859A0" w:rsidRDefault="00715247" w:rsidP="00715247">
            <w:pPr>
              <w:pStyle w:val="Table-Entry"/>
              <w:spacing w:before="60"/>
              <w:rPr>
                <w:sz w:val="20"/>
                <w:szCs w:val="20"/>
              </w:rPr>
            </w:pPr>
            <w:r w:rsidRPr="000859A0">
              <w:rPr>
                <w:b/>
                <w:sz w:val="20"/>
                <w:szCs w:val="20"/>
              </w:rPr>
              <w:t>FISO dimensions</w:t>
            </w:r>
            <w:r w:rsidRPr="000859A0">
              <w:rPr>
                <w:sz w:val="20"/>
                <w:szCs w:val="20"/>
              </w:rPr>
              <w:t xml:space="preserve"> </w:t>
            </w:r>
          </w:p>
          <w:p w14:paraId="68DF6C42" w14:textId="77777777" w:rsidR="00715247" w:rsidRPr="000859A0" w:rsidRDefault="00715247" w:rsidP="00715247">
            <w:pPr>
              <w:pStyle w:val="Table-Entry"/>
              <w:spacing w:before="60"/>
              <w:rPr>
                <w:sz w:val="20"/>
                <w:szCs w:val="20"/>
              </w:rPr>
            </w:pPr>
            <w:r w:rsidRPr="000859A0">
              <w:rPr>
                <w:sz w:val="20"/>
                <w:szCs w:val="20"/>
              </w:rPr>
              <w:t>Intellectual engagement and self-awareness dimension</w:t>
            </w:r>
          </w:p>
          <w:p w14:paraId="5E491CBB" w14:textId="77777777" w:rsidR="00715247" w:rsidRPr="000859A0" w:rsidRDefault="00715247" w:rsidP="00715247">
            <w:pPr>
              <w:pStyle w:val="Table-Entry"/>
              <w:spacing w:before="60"/>
              <w:rPr>
                <w:b/>
                <w:sz w:val="20"/>
                <w:szCs w:val="20"/>
              </w:rPr>
            </w:pPr>
            <w:r w:rsidRPr="000859A0">
              <w:rPr>
                <w:b/>
                <w:sz w:val="20"/>
                <w:szCs w:val="20"/>
              </w:rPr>
              <w:t xml:space="preserve">FISO essential elements </w:t>
            </w:r>
          </w:p>
          <w:p w14:paraId="35E01C55" w14:textId="77777777" w:rsidR="00715247" w:rsidRPr="000859A0" w:rsidRDefault="00715247" w:rsidP="00715247">
            <w:pPr>
              <w:pStyle w:val="Table-Entry"/>
              <w:spacing w:before="60"/>
              <w:rPr>
                <w:sz w:val="20"/>
                <w:szCs w:val="20"/>
              </w:rPr>
            </w:pPr>
            <w:r w:rsidRPr="000859A0">
              <w:rPr>
                <w:sz w:val="20"/>
                <w:szCs w:val="20"/>
              </w:rPr>
              <w:t>4.</w:t>
            </w:r>
            <w:r w:rsidRPr="000859A0">
              <w:rPr>
                <w:sz w:val="20"/>
                <w:szCs w:val="20"/>
              </w:rPr>
              <w:tab/>
              <w:t>Student voice, leadership and agency in own learning activated so students have positive school experiences and can act as partners in school improvement</w:t>
            </w:r>
          </w:p>
          <w:p w14:paraId="71ABC005" w14:textId="77777777" w:rsidR="00715247" w:rsidRPr="000859A0" w:rsidRDefault="00715247" w:rsidP="00715247">
            <w:pPr>
              <w:pStyle w:val="Table-Entry"/>
              <w:spacing w:before="60"/>
              <w:rPr>
                <w:sz w:val="20"/>
                <w:szCs w:val="20"/>
              </w:rPr>
            </w:pPr>
            <w:r w:rsidRPr="000859A0">
              <w:rPr>
                <w:sz w:val="20"/>
                <w:szCs w:val="20"/>
              </w:rPr>
              <w:t>5.</w:t>
            </w:r>
            <w:r w:rsidRPr="000859A0">
              <w:rPr>
                <w:sz w:val="20"/>
                <w:szCs w:val="20"/>
              </w:rPr>
              <w:tab/>
              <w:t>Whole-school approach to health, wellbeing, inclusion and engagement</w:t>
            </w:r>
          </w:p>
          <w:p w14:paraId="6CC7C652" w14:textId="77777777" w:rsidR="006569E2" w:rsidRDefault="006569E2" w:rsidP="00A05F71">
            <w:pPr>
              <w:rPr>
                <w:b/>
                <w:sz w:val="18"/>
                <w:szCs w:val="18"/>
              </w:rPr>
            </w:pPr>
          </w:p>
          <w:p w14:paraId="517DBCD5" w14:textId="77777777" w:rsidR="00715247" w:rsidRDefault="00715247" w:rsidP="00A05F71">
            <w:pPr>
              <w:rPr>
                <w:b/>
                <w:sz w:val="18"/>
                <w:szCs w:val="18"/>
              </w:rPr>
            </w:pPr>
          </w:p>
          <w:p w14:paraId="36881B92" w14:textId="77777777" w:rsidR="00715247" w:rsidRDefault="00715247" w:rsidP="00A05F71">
            <w:pPr>
              <w:rPr>
                <w:b/>
                <w:sz w:val="18"/>
                <w:szCs w:val="18"/>
              </w:rPr>
            </w:pPr>
          </w:p>
          <w:p w14:paraId="1668E5F3" w14:textId="5FC22812" w:rsidR="00715247" w:rsidRPr="00095579" w:rsidRDefault="00715247" w:rsidP="00A05F71">
            <w:pPr>
              <w:rPr>
                <w:b/>
                <w:sz w:val="18"/>
                <w:szCs w:val="18"/>
              </w:rPr>
            </w:pPr>
          </w:p>
        </w:tc>
        <w:tc>
          <w:tcPr>
            <w:tcW w:w="6615" w:type="dxa"/>
            <w:shd w:val="clear" w:color="auto" w:fill="auto"/>
          </w:tcPr>
          <w:p w14:paraId="5A0404B2" w14:textId="5F5EA016" w:rsidR="00715247" w:rsidRPr="000859A0" w:rsidRDefault="00A86E37" w:rsidP="00715247">
            <w:pPr>
              <w:pStyle w:val="Table-Entry"/>
              <w:numPr>
                <w:ilvl w:val="1"/>
                <w:numId w:val="12"/>
              </w:numPr>
              <w:tabs>
                <w:tab w:val="clear" w:pos="205"/>
              </w:tabs>
              <w:spacing w:before="60"/>
              <w:rPr>
                <w:sz w:val="20"/>
              </w:rPr>
            </w:pPr>
            <w:r>
              <w:rPr>
                <w:color w:val="auto"/>
                <w:sz w:val="20"/>
                <w:szCs w:val="20"/>
              </w:rPr>
              <w:t xml:space="preserve">Investigate and </w:t>
            </w:r>
            <w:r w:rsidR="00715247" w:rsidRPr="000859A0">
              <w:rPr>
                <w:color w:val="auto"/>
                <w:sz w:val="20"/>
                <w:szCs w:val="20"/>
              </w:rPr>
              <w:t xml:space="preserve"> develop a set of NPS learner dispositions </w:t>
            </w:r>
            <w:proofErr w:type="spellStart"/>
            <w:r>
              <w:rPr>
                <w:color w:val="auto"/>
                <w:sz w:val="20"/>
                <w:szCs w:val="20"/>
              </w:rPr>
              <w:t>eg</w:t>
            </w:r>
            <w:proofErr w:type="spellEnd"/>
            <w:r w:rsidR="00715247" w:rsidRPr="000859A0">
              <w:rPr>
                <w:color w:val="auto"/>
                <w:sz w:val="20"/>
                <w:szCs w:val="20"/>
              </w:rPr>
              <w:t>– Persist, Self-regulate</w:t>
            </w:r>
            <w:r>
              <w:rPr>
                <w:color w:val="auto"/>
                <w:sz w:val="20"/>
                <w:szCs w:val="20"/>
              </w:rPr>
              <w:t>, Collaborate, Create, Reflect</w:t>
            </w:r>
          </w:p>
          <w:p w14:paraId="67351686" w14:textId="77777777" w:rsidR="00715247" w:rsidRPr="000859A0" w:rsidRDefault="00715247" w:rsidP="00715247">
            <w:pPr>
              <w:pStyle w:val="Table-Entry"/>
              <w:numPr>
                <w:ilvl w:val="1"/>
                <w:numId w:val="12"/>
              </w:numPr>
              <w:tabs>
                <w:tab w:val="clear" w:pos="205"/>
              </w:tabs>
              <w:spacing w:before="60"/>
              <w:rPr>
                <w:sz w:val="20"/>
              </w:rPr>
            </w:pPr>
            <w:r w:rsidRPr="000859A0">
              <w:rPr>
                <w:color w:val="auto"/>
                <w:sz w:val="20"/>
                <w:szCs w:val="20"/>
              </w:rPr>
              <w:t>Explicitly articulate the role of students in the student achievement KIS above (in Curriculum planning, Assessment and classroom routines) including;</w:t>
            </w:r>
          </w:p>
          <w:p w14:paraId="7AAE082A" w14:textId="77777777" w:rsidR="00715247" w:rsidRPr="000859A0" w:rsidRDefault="00715247" w:rsidP="00715247">
            <w:pPr>
              <w:pStyle w:val="Table-Entry"/>
              <w:numPr>
                <w:ilvl w:val="2"/>
                <w:numId w:val="11"/>
              </w:numPr>
              <w:tabs>
                <w:tab w:val="clear" w:pos="205"/>
              </w:tabs>
              <w:spacing w:before="60"/>
              <w:rPr>
                <w:color w:val="auto"/>
                <w:sz w:val="20"/>
                <w:szCs w:val="20"/>
              </w:rPr>
            </w:pPr>
            <w:r w:rsidRPr="000859A0">
              <w:rPr>
                <w:color w:val="auto"/>
                <w:sz w:val="20"/>
                <w:szCs w:val="20"/>
              </w:rPr>
              <w:t>Goal setting</w:t>
            </w:r>
          </w:p>
          <w:p w14:paraId="017C2C45" w14:textId="77777777" w:rsidR="00715247" w:rsidRPr="000859A0" w:rsidRDefault="00715247" w:rsidP="00715247">
            <w:pPr>
              <w:pStyle w:val="Table-Entry"/>
              <w:numPr>
                <w:ilvl w:val="2"/>
                <w:numId w:val="11"/>
              </w:numPr>
              <w:tabs>
                <w:tab w:val="clear" w:pos="205"/>
              </w:tabs>
              <w:spacing w:before="60"/>
              <w:rPr>
                <w:color w:val="auto"/>
                <w:sz w:val="20"/>
                <w:szCs w:val="20"/>
              </w:rPr>
            </w:pPr>
            <w:r w:rsidRPr="000859A0">
              <w:rPr>
                <w:color w:val="auto"/>
                <w:sz w:val="20"/>
                <w:szCs w:val="20"/>
              </w:rPr>
              <w:t>Feedback (teacher, self, peer)</w:t>
            </w:r>
          </w:p>
          <w:p w14:paraId="27E9F39B" w14:textId="77777777" w:rsidR="006569E2" w:rsidRPr="00665F3B" w:rsidRDefault="006569E2" w:rsidP="00A05F71">
            <w:pPr>
              <w:rPr>
                <w:sz w:val="18"/>
                <w:szCs w:val="18"/>
                <w:highlight w:val="lightGray"/>
              </w:rPr>
            </w:pPr>
          </w:p>
        </w:tc>
        <w:tc>
          <w:tcPr>
            <w:tcW w:w="6615" w:type="dxa"/>
            <w:shd w:val="clear" w:color="auto" w:fill="auto"/>
          </w:tcPr>
          <w:p w14:paraId="2046CA67" w14:textId="75F77165" w:rsidR="00715247" w:rsidRPr="00715247" w:rsidRDefault="00715247" w:rsidP="00715247">
            <w:pPr>
              <w:rPr>
                <w:b/>
              </w:rPr>
            </w:pPr>
            <w:r w:rsidRPr="00715247">
              <w:rPr>
                <w:b/>
              </w:rPr>
              <w:t>Student Attitudes to School Survey</w:t>
            </w:r>
          </w:p>
          <w:p w14:paraId="6AB0F6EF" w14:textId="70ABCF23" w:rsidR="00715247" w:rsidRPr="00715247" w:rsidRDefault="00715247" w:rsidP="00715247">
            <w:pPr>
              <w:pStyle w:val="Table-Entry"/>
              <w:numPr>
                <w:ilvl w:val="1"/>
                <w:numId w:val="10"/>
              </w:numPr>
              <w:tabs>
                <w:tab w:val="clear" w:pos="205"/>
                <w:tab w:val="left" w:pos="249"/>
              </w:tabs>
              <w:ind w:left="249" w:hanging="249"/>
              <w:rPr>
                <w:color w:val="auto"/>
                <w:sz w:val="22"/>
                <w:szCs w:val="22"/>
              </w:rPr>
            </w:pPr>
            <w:r w:rsidRPr="00715247">
              <w:rPr>
                <w:color w:val="auto"/>
                <w:sz w:val="22"/>
                <w:szCs w:val="22"/>
              </w:rPr>
              <w:t>maintain</w:t>
            </w:r>
            <w:r w:rsidRPr="00715247">
              <w:rPr>
                <w:sz w:val="22"/>
                <w:szCs w:val="22"/>
              </w:rPr>
              <w:t xml:space="preserve"> ninety per cent or greater positive responses to the measures of </w:t>
            </w:r>
            <w:r w:rsidR="00C91105">
              <w:rPr>
                <w:sz w:val="22"/>
                <w:szCs w:val="22"/>
              </w:rPr>
              <w:t>‘Learner Characteristics and D</w:t>
            </w:r>
            <w:r w:rsidRPr="00715247">
              <w:rPr>
                <w:sz w:val="22"/>
                <w:szCs w:val="22"/>
              </w:rPr>
              <w:t>isposition</w:t>
            </w:r>
            <w:r w:rsidR="00C91105">
              <w:rPr>
                <w:sz w:val="22"/>
                <w:szCs w:val="22"/>
              </w:rPr>
              <w:t>’</w:t>
            </w:r>
            <w:r w:rsidRPr="00715247">
              <w:rPr>
                <w:sz w:val="22"/>
                <w:szCs w:val="22"/>
              </w:rPr>
              <w:t xml:space="preserve"> domains</w:t>
            </w:r>
          </w:p>
          <w:p w14:paraId="21FE1B06" w14:textId="77777777" w:rsidR="00715247" w:rsidRPr="00715247" w:rsidRDefault="00715247" w:rsidP="00715247">
            <w:pPr>
              <w:pStyle w:val="Table-Entry"/>
              <w:numPr>
                <w:ilvl w:val="2"/>
                <w:numId w:val="10"/>
              </w:numPr>
              <w:ind w:left="775" w:hanging="357"/>
              <w:rPr>
                <w:color w:val="auto"/>
                <w:sz w:val="22"/>
                <w:szCs w:val="22"/>
              </w:rPr>
            </w:pPr>
            <w:r w:rsidRPr="00715247">
              <w:rPr>
                <w:sz w:val="22"/>
                <w:szCs w:val="22"/>
              </w:rPr>
              <w:t xml:space="preserve">stimulated learning, </w:t>
            </w:r>
          </w:p>
          <w:p w14:paraId="2C5F73BF" w14:textId="77777777" w:rsidR="00715247" w:rsidRPr="00715247" w:rsidRDefault="00715247" w:rsidP="00715247">
            <w:pPr>
              <w:pStyle w:val="Table-Entry"/>
              <w:numPr>
                <w:ilvl w:val="2"/>
                <w:numId w:val="10"/>
              </w:numPr>
              <w:ind w:left="775" w:hanging="357"/>
              <w:rPr>
                <w:color w:val="auto"/>
                <w:sz w:val="22"/>
                <w:szCs w:val="22"/>
              </w:rPr>
            </w:pPr>
            <w:r w:rsidRPr="00715247">
              <w:rPr>
                <w:sz w:val="22"/>
                <w:szCs w:val="22"/>
              </w:rPr>
              <w:t xml:space="preserve">learning confidence, </w:t>
            </w:r>
          </w:p>
          <w:p w14:paraId="64E83390" w14:textId="77777777" w:rsidR="00715247" w:rsidRPr="00715247" w:rsidRDefault="00715247" w:rsidP="00715247">
            <w:pPr>
              <w:pStyle w:val="Table-Entry"/>
              <w:numPr>
                <w:ilvl w:val="2"/>
                <w:numId w:val="10"/>
              </w:numPr>
              <w:ind w:left="775" w:hanging="357"/>
              <w:rPr>
                <w:color w:val="auto"/>
                <w:sz w:val="22"/>
                <w:szCs w:val="22"/>
              </w:rPr>
            </w:pPr>
            <w:r w:rsidRPr="00715247">
              <w:rPr>
                <w:sz w:val="22"/>
                <w:szCs w:val="22"/>
              </w:rPr>
              <w:t xml:space="preserve">motivation and interest, </w:t>
            </w:r>
          </w:p>
          <w:p w14:paraId="3B0EF899" w14:textId="27E41D18" w:rsidR="00715247" w:rsidRPr="00715247" w:rsidRDefault="00715247" w:rsidP="00715247">
            <w:pPr>
              <w:pStyle w:val="Table-Entry"/>
              <w:numPr>
                <w:ilvl w:val="2"/>
                <w:numId w:val="10"/>
              </w:numPr>
              <w:ind w:left="775" w:hanging="357"/>
              <w:rPr>
                <w:color w:val="auto"/>
                <w:sz w:val="22"/>
                <w:szCs w:val="22"/>
              </w:rPr>
            </w:pPr>
            <w:r w:rsidRPr="00715247">
              <w:rPr>
                <w:sz w:val="22"/>
                <w:szCs w:val="22"/>
              </w:rPr>
              <w:t>self-regulation and goal setting</w:t>
            </w:r>
          </w:p>
          <w:p w14:paraId="753CE719" w14:textId="77777777" w:rsidR="00715247" w:rsidRPr="00715247" w:rsidRDefault="00715247" w:rsidP="00715247">
            <w:pPr>
              <w:pStyle w:val="Table-Entry"/>
              <w:ind w:left="720"/>
              <w:rPr>
                <w:color w:val="auto"/>
                <w:sz w:val="22"/>
                <w:szCs w:val="22"/>
              </w:rPr>
            </w:pPr>
          </w:p>
          <w:p w14:paraId="7EB2CED5" w14:textId="2A4C727A" w:rsidR="00715247" w:rsidRPr="00715247" w:rsidRDefault="00F8024C" w:rsidP="00715247">
            <w:pPr>
              <w:pStyle w:val="Table-Entry"/>
              <w:numPr>
                <w:ilvl w:val="1"/>
                <w:numId w:val="10"/>
              </w:numPr>
              <w:ind w:left="249" w:hanging="249"/>
              <w:rPr>
                <w:color w:val="auto"/>
                <w:sz w:val="22"/>
                <w:szCs w:val="22"/>
              </w:rPr>
            </w:pPr>
            <w:r>
              <w:rPr>
                <w:sz w:val="22"/>
                <w:szCs w:val="22"/>
              </w:rPr>
              <w:t>attain eighty-five per</w:t>
            </w:r>
            <w:r w:rsidR="00715247" w:rsidRPr="00715247">
              <w:rPr>
                <w:sz w:val="22"/>
                <w:szCs w:val="22"/>
              </w:rPr>
              <w:t xml:space="preserve">cent or greater positive responses to the measures of (Social engagement domain </w:t>
            </w:r>
            <w:r w:rsidR="00C91105">
              <w:rPr>
                <w:sz w:val="22"/>
                <w:szCs w:val="22"/>
              </w:rPr>
              <w:t>‘</w:t>
            </w:r>
            <w:r w:rsidR="00715247" w:rsidRPr="00715247">
              <w:rPr>
                <w:sz w:val="22"/>
                <w:szCs w:val="22"/>
              </w:rPr>
              <w:t>Student Voice and Agency</w:t>
            </w:r>
            <w:r w:rsidR="00C91105">
              <w:rPr>
                <w:sz w:val="22"/>
                <w:szCs w:val="22"/>
              </w:rPr>
              <w:t>’</w:t>
            </w:r>
            <w:r w:rsidR="00715247" w:rsidRPr="00715247">
              <w:rPr>
                <w:sz w:val="22"/>
                <w:szCs w:val="22"/>
              </w:rPr>
              <w:t xml:space="preserve"> – 82% in 2017)</w:t>
            </w:r>
          </w:p>
          <w:p w14:paraId="0B9C30ED" w14:textId="6EF1A508" w:rsidR="00715247" w:rsidRPr="00715247" w:rsidRDefault="00715247" w:rsidP="00715247">
            <w:pPr>
              <w:pStyle w:val="ListParagraph"/>
              <w:rPr>
                <w:highlight w:val="lightGray"/>
              </w:rPr>
            </w:pPr>
          </w:p>
        </w:tc>
      </w:tr>
      <w:tr w:rsidR="006569E2" w14:paraId="799952FE" w14:textId="38395324" w:rsidTr="00665F3B">
        <w:trPr>
          <w:trHeight w:val="441"/>
        </w:trPr>
        <w:tc>
          <w:tcPr>
            <w:tcW w:w="6663" w:type="dxa"/>
            <w:shd w:val="clear" w:color="auto" w:fill="auto"/>
          </w:tcPr>
          <w:p w14:paraId="28B6CFC0" w14:textId="38E8768D" w:rsidR="00B84C8C" w:rsidRPr="00C91105" w:rsidRDefault="00B84C8C" w:rsidP="00715247">
            <w:pPr>
              <w:rPr>
                <w:b/>
                <w:sz w:val="24"/>
                <w:szCs w:val="24"/>
              </w:rPr>
            </w:pPr>
            <w:r w:rsidRPr="00C91105">
              <w:rPr>
                <w:b/>
                <w:sz w:val="24"/>
                <w:szCs w:val="24"/>
              </w:rPr>
              <w:t>Goal – Student Wellbeing</w:t>
            </w:r>
          </w:p>
          <w:p w14:paraId="084CCD0C" w14:textId="77777777" w:rsidR="00B84C8C" w:rsidRPr="00C91105" w:rsidRDefault="00B84C8C" w:rsidP="00B84C8C">
            <w:pPr>
              <w:rPr>
                <w:rFonts w:cs="Arial"/>
                <w:sz w:val="24"/>
                <w:szCs w:val="24"/>
                <w:lang w:val="en-US"/>
              </w:rPr>
            </w:pPr>
            <w:r w:rsidRPr="00C91105">
              <w:rPr>
                <w:rFonts w:cs="Arial"/>
                <w:sz w:val="24"/>
                <w:szCs w:val="24"/>
                <w:lang w:val="en-US"/>
              </w:rPr>
              <w:t>To develop optimistic students who displa</w:t>
            </w:r>
            <w:bookmarkStart w:id="2" w:name="_GoBack"/>
            <w:bookmarkEnd w:id="2"/>
            <w:r w:rsidRPr="00C91105">
              <w:rPr>
                <w:rFonts w:cs="Arial"/>
                <w:sz w:val="24"/>
                <w:szCs w:val="24"/>
                <w:lang w:val="en-US"/>
              </w:rPr>
              <w:t xml:space="preserve">y growth mindsets, </w:t>
            </w:r>
            <w:proofErr w:type="spellStart"/>
            <w:r w:rsidRPr="00C91105">
              <w:rPr>
                <w:rFonts w:cs="Arial"/>
                <w:sz w:val="24"/>
                <w:szCs w:val="24"/>
                <w:lang w:val="en-US"/>
              </w:rPr>
              <w:t>behaviours</w:t>
            </w:r>
            <w:proofErr w:type="spellEnd"/>
            <w:r w:rsidRPr="00C91105">
              <w:rPr>
                <w:rFonts w:cs="Arial"/>
                <w:sz w:val="24"/>
                <w:szCs w:val="24"/>
                <w:lang w:val="en-US"/>
              </w:rPr>
              <w:t xml:space="preserve"> and attitudes that reflect the school values.</w:t>
            </w:r>
          </w:p>
          <w:p w14:paraId="5711AD09" w14:textId="0A511749" w:rsidR="006569E2" w:rsidRPr="00C91105" w:rsidRDefault="006569E2" w:rsidP="006569E2">
            <w:pPr>
              <w:rPr>
                <w:sz w:val="18"/>
                <w:szCs w:val="18"/>
                <w:highlight w:val="lightGray"/>
              </w:rPr>
            </w:pPr>
          </w:p>
          <w:p w14:paraId="19BCEB1B" w14:textId="77777777" w:rsidR="006569E2" w:rsidRPr="00C91105" w:rsidRDefault="006569E2" w:rsidP="00A05F71">
            <w:pPr>
              <w:rPr>
                <w:sz w:val="18"/>
                <w:szCs w:val="18"/>
                <w:highlight w:val="lightGray"/>
              </w:rPr>
            </w:pPr>
          </w:p>
        </w:tc>
        <w:tc>
          <w:tcPr>
            <w:tcW w:w="2694" w:type="dxa"/>
            <w:shd w:val="clear" w:color="auto" w:fill="auto"/>
          </w:tcPr>
          <w:p w14:paraId="4A388646" w14:textId="77777777" w:rsidR="00715247" w:rsidRPr="00715247" w:rsidRDefault="00715247" w:rsidP="00715247">
            <w:pPr>
              <w:pStyle w:val="Table-Entry"/>
              <w:spacing w:before="60"/>
              <w:rPr>
                <w:b/>
                <w:color w:val="auto"/>
                <w:sz w:val="20"/>
                <w:szCs w:val="20"/>
              </w:rPr>
            </w:pPr>
            <w:r w:rsidRPr="00715247">
              <w:rPr>
                <w:b/>
                <w:color w:val="auto"/>
                <w:sz w:val="20"/>
                <w:szCs w:val="20"/>
              </w:rPr>
              <w:t>FISO Priority</w:t>
            </w:r>
          </w:p>
          <w:p w14:paraId="7584142D" w14:textId="77777777" w:rsidR="00715247" w:rsidRPr="00715247" w:rsidRDefault="00715247" w:rsidP="00715247">
            <w:pPr>
              <w:pStyle w:val="Table-Entry"/>
              <w:spacing w:before="60"/>
              <w:rPr>
                <w:color w:val="auto"/>
                <w:sz w:val="20"/>
                <w:szCs w:val="20"/>
              </w:rPr>
            </w:pPr>
            <w:r w:rsidRPr="00715247">
              <w:rPr>
                <w:color w:val="auto"/>
                <w:sz w:val="20"/>
                <w:szCs w:val="20"/>
              </w:rPr>
              <w:t>Positive climate for learning.</w:t>
            </w:r>
          </w:p>
          <w:p w14:paraId="67070000" w14:textId="77777777" w:rsidR="00715247" w:rsidRPr="00715247" w:rsidRDefault="00715247" w:rsidP="00715247">
            <w:pPr>
              <w:pStyle w:val="Table-Entry"/>
              <w:spacing w:before="60"/>
              <w:rPr>
                <w:b/>
                <w:color w:val="auto"/>
                <w:sz w:val="20"/>
                <w:szCs w:val="20"/>
              </w:rPr>
            </w:pPr>
            <w:r w:rsidRPr="00715247">
              <w:rPr>
                <w:b/>
                <w:color w:val="auto"/>
                <w:sz w:val="20"/>
                <w:szCs w:val="20"/>
              </w:rPr>
              <w:t>FISO initiative</w:t>
            </w:r>
          </w:p>
          <w:p w14:paraId="1297F15F" w14:textId="77777777" w:rsidR="00715247" w:rsidRPr="00715247" w:rsidRDefault="00715247" w:rsidP="00715247">
            <w:pPr>
              <w:pStyle w:val="Table-Entry"/>
              <w:spacing w:before="60"/>
              <w:rPr>
                <w:color w:val="auto"/>
                <w:sz w:val="20"/>
                <w:szCs w:val="20"/>
              </w:rPr>
            </w:pPr>
            <w:r w:rsidRPr="00715247">
              <w:rPr>
                <w:color w:val="auto"/>
                <w:sz w:val="20"/>
                <w:szCs w:val="20"/>
              </w:rPr>
              <w:t>Setting expectations and promoting inclusion</w:t>
            </w:r>
          </w:p>
          <w:p w14:paraId="6A13762B" w14:textId="77777777" w:rsidR="00715247" w:rsidRPr="00715247" w:rsidRDefault="00715247" w:rsidP="00715247">
            <w:pPr>
              <w:pStyle w:val="Table-Entry"/>
              <w:spacing w:before="60"/>
              <w:rPr>
                <w:color w:val="auto"/>
                <w:sz w:val="20"/>
                <w:szCs w:val="20"/>
              </w:rPr>
            </w:pPr>
            <w:r w:rsidRPr="00715247">
              <w:rPr>
                <w:b/>
                <w:color w:val="auto"/>
                <w:sz w:val="20"/>
                <w:szCs w:val="20"/>
              </w:rPr>
              <w:t>FISO dimensions</w:t>
            </w:r>
          </w:p>
          <w:p w14:paraId="07A9335B" w14:textId="77777777" w:rsidR="00715247" w:rsidRPr="00715247" w:rsidRDefault="00715247" w:rsidP="00715247">
            <w:pPr>
              <w:pStyle w:val="Table-Entry"/>
              <w:spacing w:before="60"/>
              <w:rPr>
                <w:color w:val="auto"/>
                <w:sz w:val="20"/>
                <w:szCs w:val="20"/>
              </w:rPr>
            </w:pPr>
            <w:r w:rsidRPr="00715247">
              <w:rPr>
                <w:color w:val="auto"/>
                <w:sz w:val="20"/>
                <w:szCs w:val="20"/>
              </w:rPr>
              <w:t>Health and wellbeing dimension</w:t>
            </w:r>
          </w:p>
          <w:p w14:paraId="0123D479" w14:textId="77777777" w:rsidR="00715247" w:rsidRPr="00715247" w:rsidRDefault="00715247" w:rsidP="00715247">
            <w:pPr>
              <w:pStyle w:val="Table-Entry"/>
              <w:spacing w:before="60"/>
              <w:rPr>
                <w:b/>
                <w:color w:val="auto"/>
                <w:sz w:val="20"/>
                <w:szCs w:val="20"/>
              </w:rPr>
            </w:pPr>
            <w:r w:rsidRPr="00715247">
              <w:rPr>
                <w:b/>
                <w:color w:val="auto"/>
                <w:sz w:val="20"/>
                <w:szCs w:val="20"/>
              </w:rPr>
              <w:t xml:space="preserve">FISO essential elements </w:t>
            </w:r>
          </w:p>
          <w:p w14:paraId="569AD217" w14:textId="77777777" w:rsidR="00715247" w:rsidRPr="00715247" w:rsidRDefault="00715247" w:rsidP="00715247">
            <w:pPr>
              <w:pStyle w:val="Table-Entry"/>
              <w:spacing w:before="60" w:after="60"/>
              <w:rPr>
                <w:color w:val="auto"/>
                <w:sz w:val="20"/>
                <w:szCs w:val="20"/>
              </w:rPr>
            </w:pPr>
            <w:r w:rsidRPr="00715247">
              <w:rPr>
                <w:color w:val="auto"/>
                <w:sz w:val="20"/>
                <w:szCs w:val="20"/>
              </w:rPr>
              <w:t>5. Whole-school approach to health, wellbeing, inclusion and engagement</w:t>
            </w:r>
          </w:p>
          <w:p w14:paraId="0C7A95AD" w14:textId="77777777" w:rsidR="00715247" w:rsidRPr="00715247" w:rsidRDefault="00715247" w:rsidP="00715247">
            <w:pPr>
              <w:pStyle w:val="Table-Entry"/>
              <w:spacing w:before="60"/>
              <w:rPr>
                <w:b/>
                <w:color w:val="auto"/>
                <w:sz w:val="20"/>
                <w:szCs w:val="20"/>
              </w:rPr>
            </w:pPr>
            <w:r w:rsidRPr="00715247">
              <w:rPr>
                <w:b/>
                <w:color w:val="auto"/>
                <w:sz w:val="20"/>
                <w:szCs w:val="20"/>
              </w:rPr>
              <w:t>FISO Priority</w:t>
            </w:r>
          </w:p>
          <w:p w14:paraId="55CCBA34" w14:textId="77777777" w:rsidR="00715247" w:rsidRPr="00715247" w:rsidRDefault="00715247" w:rsidP="00715247">
            <w:pPr>
              <w:pStyle w:val="Table-Entry"/>
              <w:spacing w:before="60"/>
              <w:rPr>
                <w:color w:val="auto"/>
                <w:sz w:val="20"/>
                <w:szCs w:val="20"/>
              </w:rPr>
            </w:pPr>
            <w:r w:rsidRPr="00715247">
              <w:rPr>
                <w:color w:val="auto"/>
                <w:sz w:val="20"/>
                <w:szCs w:val="20"/>
              </w:rPr>
              <w:t>Community engagement in learning.</w:t>
            </w:r>
          </w:p>
          <w:p w14:paraId="2A104B1D" w14:textId="77777777" w:rsidR="00715247" w:rsidRPr="00715247" w:rsidRDefault="00715247" w:rsidP="00715247">
            <w:pPr>
              <w:pStyle w:val="Table-Entry"/>
              <w:spacing w:before="60"/>
              <w:rPr>
                <w:color w:val="auto"/>
                <w:sz w:val="20"/>
                <w:szCs w:val="20"/>
              </w:rPr>
            </w:pPr>
            <w:r w:rsidRPr="00715247">
              <w:rPr>
                <w:b/>
                <w:color w:val="auto"/>
                <w:sz w:val="20"/>
                <w:szCs w:val="20"/>
              </w:rPr>
              <w:t>FISO dimensions</w:t>
            </w:r>
          </w:p>
          <w:p w14:paraId="2D2205B0" w14:textId="4E1E526E" w:rsidR="006569E2" w:rsidRPr="00095579" w:rsidRDefault="00715247" w:rsidP="00715247">
            <w:pPr>
              <w:rPr>
                <w:b/>
                <w:sz w:val="18"/>
                <w:szCs w:val="18"/>
              </w:rPr>
            </w:pPr>
            <w:r w:rsidRPr="00715247">
              <w:rPr>
                <w:sz w:val="20"/>
                <w:szCs w:val="20"/>
              </w:rPr>
              <w:t>Parents and carers as partners</w:t>
            </w:r>
          </w:p>
        </w:tc>
        <w:tc>
          <w:tcPr>
            <w:tcW w:w="6615" w:type="dxa"/>
            <w:shd w:val="clear" w:color="auto" w:fill="auto"/>
          </w:tcPr>
          <w:p w14:paraId="0EA6A678" w14:textId="77777777" w:rsidR="00715247" w:rsidRPr="000859A0" w:rsidRDefault="00715247" w:rsidP="00715247">
            <w:pPr>
              <w:pStyle w:val="Table-Entry"/>
              <w:tabs>
                <w:tab w:val="clear" w:pos="205"/>
              </w:tabs>
              <w:spacing w:before="60"/>
              <w:ind w:left="360"/>
              <w:rPr>
                <w:b/>
                <w:sz w:val="20"/>
                <w:szCs w:val="20"/>
                <w:lang w:val="en-GB"/>
              </w:rPr>
            </w:pPr>
            <w:r w:rsidRPr="000859A0">
              <w:rPr>
                <w:b/>
                <w:sz w:val="20"/>
                <w:szCs w:val="20"/>
              </w:rPr>
              <w:t>Continue consistent whole-school approach to health, wellbeing and inclusion (FISO essential element #5)</w:t>
            </w:r>
          </w:p>
          <w:p w14:paraId="65171E69" w14:textId="77777777" w:rsidR="00715247" w:rsidRPr="000859A0" w:rsidRDefault="00715247" w:rsidP="00715247">
            <w:pPr>
              <w:pStyle w:val="Table-Entry"/>
              <w:numPr>
                <w:ilvl w:val="1"/>
                <w:numId w:val="13"/>
              </w:numPr>
              <w:tabs>
                <w:tab w:val="clear" w:pos="205"/>
              </w:tabs>
              <w:spacing w:before="60"/>
              <w:rPr>
                <w:sz w:val="20"/>
                <w:szCs w:val="20"/>
                <w:lang w:val="en-GB"/>
              </w:rPr>
            </w:pPr>
            <w:r w:rsidRPr="000859A0">
              <w:rPr>
                <w:sz w:val="20"/>
                <w:szCs w:val="20"/>
              </w:rPr>
              <w:t>Review and refine school values including elaborations in the PBS framework</w:t>
            </w:r>
          </w:p>
          <w:p w14:paraId="42F6868C" w14:textId="77777777" w:rsidR="00715247" w:rsidRPr="000859A0" w:rsidRDefault="00715247" w:rsidP="00715247">
            <w:pPr>
              <w:pStyle w:val="Table-Entry"/>
              <w:numPr>
                <w:ilvl w:val="1"/>
                <w:numId w:val="13"/>
              </w:numPr>
              <w:tabs>
                <w:tab w:val="clear" w:pos="205"/>
              </w:tabs>
              <w:spacing w:before="60"/>
              <w:rPr>
                <w:sz w:val="20"/>
                <w:szCs w:val="20"/>
                <w:lang w:val="en-GB"/>
              </w:rPr>
            </w:pPr>
            <w:r w:rsidRPr="000859A0">
              <w:rPr>
                <w:sz w:val="20"/>
                <w:szCs w:val="20"/>
                <w:lang w:val="en-GB"/>
              </w:rPr>
              <w:t>Investigate how the wellbeing goal might influence actions that enhance parental engagement and support for independent learning.</w:t>
            </w:r>
          </w:p>
          <w:p w14:paraId="069491FD" w14:textId="6BD6DA9E" w:rsidR="00715247" w:rsidRPr="000859A0" w:rsidRDefault="00715247" w:rsidP="00715247">
            <w:pPr>
              <w:pStyle w:val="Table-Entry"/>
              <w:numPr>
                <w:ilvl w:val="1"/>
                <w:numId w:val="13"/>
              </w:numPr>
              <w:tabs>
                <w:tab w:val="clear" w:pos="205"/>
              </w:tabs>
              <w:spacing w:before="60"/>
              <w:rPr>
                <w:sz w:val="20"/>
                <w:szCs w:val="20"/>
                <w:lang w:val="en-GB"/>
              </w:rPr>
            </w:pPr>
            <w:r>
              <w:rPr>
                <w:sz w:val="20"/>
                <w:szCs w:val="20"/>
              </w:rPr>
              <w:t>I</w:t>
            </w:r>
            <w:r w:rsidRPr="000859A0">
              <w:rPr>
                <w:sz w:val="20"/>
                <w:szCs w:val="20"/>
              </w:rPr>
              <w:t xml:space="preserve">nvestigate Victorian Curriculum Social Capability as a framework for outcomes </w:t>
            </w:r>
          </w:p>
          <w:p w14:paraId="37E888F9" w14:textId="6F07EFD2" w:rsidR="006569E2" w:rsidRPr="00665F3B" w:rsidRDefault="006569E2" w:rsidP="00A05F71">
            <w:pPr>
              <w:rPr>
                <w:sz w:val="18"/>
                <w:szCs w:val="18"/>
                <w:highlight w:val="lightGray"/>
              </w:rPr>
            </w:pPr>
          </w:p>
          <w:p w14:paraId="6EDB9969" w14:textId="77777777" w:rsidR="006569E2" w:rsidRPr="00665F3B" w:rsidRDefault="006569E2" w:rsidP="00A05F71">
            <w:pPr>
              <w:rPr>
                <w:sz w:val="18"/>
                <w:szCs w:val="18"/>
                <w:highlight w:val="lightGray"/>
              </w:rPr>
            </w:pPr>
          </w:p>
        </w:tc>
        <w:tc>
          <w:tcPr>
            <w:tcW w:w="6615" w:type="dxa"/>
            <w:shd w:val="clear" w:color="auto" w:fill="auto"/>
          </w:tcPr>
          <w:p w14:paraId="2961FBEF" w14:textId="6C3F8B66" w:rsidR="00715247" w:rsidRPr="00F8024C" w:rsidRDefault="00715247" w:rsidP="00715247">
            <w:pPr>
              <w:rPr>
                <w:b/>
              </w:rPr>
            </w:pPr>
            <w:r w:rsidRPr="00F8024C">
              <w:rPr>
                <w:b/>
              </w:rPr>
              <w:t>Student Attitudes to School Survey</w:t>
            </w:r>
          </w:p>
          <w:p w14:paraId="622C9669" w14:textId="0366EB2C" w:rsidR="00715247" w:rsidRPr="00F8024C" w:rsidRDefault="00715247" w:rsidP="00715247">
            <w:pPr>
              <w:pStyle w:val="Table-Entry"/>
              <w:tabs>
                <w:tab w:val="clear" w:pos="205"/>
              </w:tabs>
              <w:spacing w:before="60"/>
              <w:ind w:left="360" w:hanging="360"/>
              <w:rPr>
                <w:color w:val="auto"/>
                <w:sz w:val="22"/>
                <w:szCs w:val="22"/>
              </w:rPr>
            </w:pPr>
            <w:r w:rsidRPr="00F8024C">
              <w:rPr>
                <w:sz w:val="22"/>
                <w:szCs w:val="22"/>
              </w:rPr>
              <w:t>Agreement response rates</w:t>
            </w:r>
            <w:r w:rsidR="00F8024C">
              <w:rPr>
                <w:sz w:val="22"/>
                <w:szCs w:val="22"/>
              </w:rPr>
              <w:t xml:space="preserve"> to be maintained at ninety per</w:t>
            </w:r>
            <w:r w:rsidRPr="00F8024C">
              <w:rPr>
                <w:sz w:val="22"/>
                <w:szCs w:val="22"/>
              </w:rPr>
              <w:t>cent or more for;</w:t>
            </w:r>
          </w:p>
          <w:p w14:paraId="6393133C" w14:textId="4CE627A4" w:rsidR="00715247" w:rsidRPr="00F8024C" w:rsidRDefault="00715247" w:rsidP="00715247">
            <w:pPr>
              <w:pStyle w:val="Table-Entry"/>
              <w:numPr>
                <w:ilvl w:val="1"/>
                <w:numId w:val="9"/>
              </w:numPr>
              <w:spacing w:before="60"/>
              <w:rPr>
                <w:color w:val="auto"/>
                <w:sz w:val="22"/>
                <w:szCs w:val="22"/>
              </w:rPr>
            </w:pPr>
            <w:r w:rsidRPr="00F8024C">
              <w:rPr>
                <w:sz w:val="22"/>
                <w:szCs w:val="22"/>
              </w:rPr>
              <w:t xml:space="preserve">the Advocate at school factor </w:t>
            </w:r>
            <w:r w:rsidR="00F8024C">
              <w:rPr>
                <w:sz w:val="22"/>
                <w:szCs w:val="22"/>
              </w:rPr>
              <w:t>(Student Safety domain – 92 per</w:t>
            </w:r>
            <w:r w:rsidRPr="00F8024C">
              <w:rPr>
                <w:sz w:val="22"/>
                <w:szCs w:val="22"/>
              </w:rPr>
              <w:t>cent in 2017)</w:t>
            </w:r>
          </w:p>
          <w:p w14:paraId="1C55BD84" w14:textId="6857EA14" w:rsidR="00715247" w:rsidRPr="00F8024C" w:rsidRDefault="00715247" w:rsidP="00715247">
            <w:pPr>
              <w:pStyle w:val="Table-Entry"/>
              <w:numPr>
                <w:ilvl w:val="1"/>
                <w:numId w:val="9"/>
              </w:numPr>
              <w:spacing w:before="60"/>
              <w:rPr>
                <w:color w:val="auto"/>
                <w:sz w:val="22"/>
                <w:szCs w:val="22"/>
              </w:rPr>
            </w:pPr>
            <w:r w:rsidRPr="00F8024C">
              <w:rPr>
                <w:sz w:val="22"/>
                <w:szCs w:val="22"/>
              </w:rPr>
              <w:t>the School Connectedness factor (So</w:t>
            </w:r>
            <w:r w:rsidR="00F8024C">
              <w:rPr>
                <w:sz w:val="22"/>
                <w:szCs w:val="22"/>
              </w:rPr>
              <w:t>cial engagement domain – 86 per</w:t>
            </w:r>
            <w:r w:rsidRPr="00F8024C">
              <w:rPr>
                <w:sz w:val="22"/>
                <w:szCs w:val="22"/>
              </w:rPr>
              <w:t xml:space="preserve">cent in 2017) </w:t>
            </w:r>
          </w:p>
          <w:p w14:paraId="4E92FFCA" w14:textId="77777777" w:rsidR="00715247" w:rsidRPr="00F8024C" w:rsidRDefault="00715247" w:rsidP="00715247"/>
          <w:p w14:paraId="57186C9F" w14:textId="3AC559CD" w:rsidR="00715247" w:rsidRPr="00F8024C" w:rsidRDefault="00715247" w:rsidP="00715247">
            <w:pPr>
              <w:rPr>
                <w:b/>
              </w:rPr>
            </w:pPr>
            <w:r w:rsidRPr="00F8024C">
              <w:rPr>
                <w:b/>
              </w:rPr>
              <w:t>Parent Opinion Survey.</w:t>
            </w:r>
          </w:p>
          <w:p w14:paraId="573C5AF0" w14:textId="5939A03B" w:rsidR="00715247" w:rsidRDefault="00F8024C" w:rsidP="00F8024C">
            <w:pPr>
              <w:pStyle w:val="ListParagraph"/>
              <w:numPr>
                <w:ilvl w:val="0"/>
                <w:numId w:val="15"/>
              </w:numPr>
              <w:ind w:left="674"/>
            </w:pPr>
            <w:r>
              <w:t>Attain 23 percent or more agreement rates for ‘Confidence and resiliency skills’. (22.4% in 2017)</w:t>
            </w:r>
          </w:p>
          <w:p w14:paraId="12C4ECED" w14:textId="1F8301E2" w:rsidR="00A01A51" w:rsidRDefault="00A01A51" w:rsidP="00F8024C">
            <w:pPr>
              <w:pStyle w:val="ListParagraph"/>
              <w:numPr>
                <w:ilvl w:val="0"/>
                <w:numId w:val="15"/>
              </w:numPr>
              <w:ind w:left="674"/>
            </w:pPr>
            <w:r>
              <w:t>Attain 69 percent or more agreement rates for ‘Promoting positive behaviour’. (68.3% in 2017)</w:t>
            </w:r>
          </w:p>
          <w:p w14:paraId="0A376F23" w14:textId="466B5AB1" w:rsidR="00F8024C" w:rsidRPr="00F8024C" w:rsidRDefault="00F8024C" w:rsidP="00715247"/>
        </w:tc>
      </w:tr>
    </w:tbl>
    <w:p w14:paraId="49995CCD" w14:textId="7C1336D4" w:rsidR="005D1881" w:rsidRPr="00E23FC3" w:rsidRDefault="005D1881" w:rsidP="00665F3B">
      <w:pPr>
        <w:tabs>
          <w:tab w:val="left" w:pos="1875"/>
        </w:tabs>
      </w:pPr>
    </w:p>
    <w:sectPr w:rsidR="005D1881" w:rsidRPr="00E23FC3" w:rsidSect="0062345F">
      <w:headerReference w:type="default" r:id="rId12"/>
      <w:footerReference w:type="default" r:id="rId13"/>
      <w:pgSz w:w="23814" w:h="16839" w:orient="landscape" w:code="8"/>
      <w:pgMar w:top="993" w:right="1440" w:bottom="1440" w:left="1440" w:header="708" w:footer="0" w:gutter="0"/>
      <w:cols w:space="8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B7D4" w14:textId="77777777" w:rsidR="00DA0748" w:rsidRDefault="00DA0748" w:rsidP="00974440">
      <w:r>
        <w:separator/>
      </w:r>
    </w:p>
  </w:endnote>
  <w:endnote w:type="continuationSeparator" w:id="0">
    <w:p w14:paraId="7E85AAD5" w14:textId="77777777" w:rsidR="00DA0748" w:rsidRDefault="00DA0748"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ahootz 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D34" w14:textId="2C564862" w:rsidR="00974440" w:rsidRDefault="00DE45AD" w:rsidP="0062345F">
    <w:pPr>
      <w:pStyle w:val="Footer"/>
      <w:tabs>
        <w:tab w:val="clear" w:pos="9026"/>
        <w:tab w:val="right" w:pos="12616"/>
      </w:tabs>
      <w:jc w:val="both"/>
    </w:pPr>
    <w:r w:rsidRPr="00DE45AD">
      <w:rPr>
        <w:noProof/>
        <w:lang w:eastAsia="en-AU"/>
      </w:rPr>
      <w:drawing>
        <wp:inline distT="0" distB="0" distL="0" distR="0" wp14:anchorId="5D06818A" wp14:editId="2A4D1C9A">
          <wp:extent cx="13373100" cy="830468"/>
          <wp:effectExtent l="0" t="0" r="0" b="8255"/>
          <wp:docPr id="1" name="Picture 1" descr="C:\Users\09384802\Pictures\FISO footer A3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84802\Pictures\FISO footer A3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982" cy="8389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D69B" w14:textId="77777777" w:rsidR="00DA0748" w:rsidRDefault="00DA0748" w:rsidP="00974440">
      <w:r>
        <w:separator/>
      </w:r>
    </w:p>
  </w:footnote>
  <w:footnote w:type="continuationSeparator" w:id="0">
    <w:p w14:paraId="7455F729" w14:textId="77777777" w:rsidR="00DA0748" w:rsidRDefault="00DA0748" w:rsidP="0097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E168" w14:textId="6DAF966F" w:rsidR="004725D1" w:rsidRPr="0062345F" w:rsidRDefault="0062345F" w:rsidP="0062345F">
    <w:pPr>
      <w:pStyle w:val="Footer"/>
      <w:tabs>
        <w:tab w:val="clear" w:pos="9026"/>
        <w:tab w:val="right" w:pos="12616"/>
      </w:tabs>
      <w:jc w:val="right"/>
      <w:rPr>
        <w:sz w:val="18"/>
      </w:rPr>
    </w:pPr>
    <w:r w:rsidRPr="0062345F">
      <w:rPr>
        <w:sz w:val="18"/>
      </w:rPr>
      <w:t xml:space="preserve"> Published: March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AA9"/>
    <w:multiLevelType w:val="hybridMultilevel"/>
    <w:tmpl w:val="42F6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53C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07745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F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D975A1"/>
    <w:multiLevelType w:val="hybridMultilevel"/>
    <w:tmpl w:val="F154A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B14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5E0647"/>
    <w:multiLevelType w:val="hybridMultilevel"/>
    <w:tmpl w:val="FD6EFD70"/>
    <w:lvl w:ilvl="0" w:tplc="08090001">
      <w:start w:val="1"/>
      <w:numFmt w:val="bullet"/>
      <w:lvlText w:val=""/>
      <w:lvlJc w:val="left"/>
      <w:pPr>
        <w:ind w:left="565" w:hanging="360"/>
      </w:pPr>
      <w:rPr>
        <w:rFonts w:ascii="Symbol" w:hAnsi="Symbol" w:hint="default"/>
      </w:rPr>
    </w:lvl>
    <w:lvl w:ilvl="1" w:tplc="08090019" w:tentative="1">
      <w:start w:val="1"/>
      <w:numFmt w:val="lowerLetter"/>
      <w:lvlText w:val="%2."/>
      <w:lvlJc w:val="left"/>
      <w:pPr>
        <w:ind w:left="1285" w:hanging="360"/>
      </w:pPr>
    </w:lvl>
    <w:lvl w:ilvl="2" w:tplc="0809001B" w:tentative="1">
      <w:start w:val="1"/>
      <w:numFmt w:val="lowerRoman"/>
      <w:lvlText w:val="%3."/>
      <w:lvlJc w:val="right"/>
      <w:pPr>
        <w:ind w:left="200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3445" w:hanging="360"/>
      </w:pPr>
    </w:lvl>
    <w:lvl w:ilvl="5" w:tplc="0809001B" w:tentative="1">
      <w:start w:val="1"/>
      <w:numFmt w:val="lowerRoman"/>
      <w:lvlText w:val="%6."/>
      <w:lvlJc w:val="right"/>
      <w:pPr>
        <w:ind w:left="4165" w:hanging="180"/>
      </w:pPr>
    </w:lvl>
    <w:lvl w:ilvl="6" w:tplc="0809000F" w:tentative="1">
      <w:start w:val="1"/>
      <w:numFmt w:val="decimal"/>
      <w:lvlText w:val="%7."/>
      <w:lvlJc w:val="left"/>
      <w:pPr>
        <w:ind w:left="4885" w:hanging="360"/>
      </w:pPr>
    </w:lvl>
    <w:lvl w:ilvl="7" w:tplc="08090019" w:tentative="1">
      <w:start w:val="1"/>
      <w:numFmt w:val="lowerLetter"/>
      <w:lvlText w:val="%8."/>
      <w:lvlJc w:val="left"/>
      <w:pPr>
        <w:ind w:left="5605" w:hanging="360"/>
      </w:pPr>
    </w:lvl>
    <w:lvl w:ilvl="8" w:tplc="0809001B" w:tentative="1">
      <w:start w:val="1"/>
      <w:numFmt w:val="lowerRoman"/>
      <w:lvlText w:val="%9."/>
      <w:lvlJc w:val="right"/>
      <w:pPr>
        <w:ind w:left="6325" w:hanging="180"/>
      </w:pPr>
    </w:lvl>
  </w:abstractNum>
  <w:abstractNum w:abstractNumId="7" w15:restartNumberingAfterBreak="0">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559F2"/>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027D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700D57"/>
    <w:multiLevelType w:val="hybridMultilevel"/>
    <w:tmpl w:val="0FFC993A"/>
    <w:lvl w:ilvl="0" w:tplc="4164FB30">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6E3E11A2"/>
    <w:multiLevelType w:val="hybridMultilevel"/>
    <w:tmpl w:val="16F63002"/>
    <w:lvl w:ilvl="0" w:tplc="0809000F">
      <w:start w:val="1"/>
      <w:numFmt w:val="decimal"/>
      <w:lvlText w:val="%1."/>
      <w:lvlJc w:val="left"/>
      <w:pPr>
        <w:ind w:left="360" w:hanging="360"/>
      </w:pPr>
      <w:rPr>
        <w:rFonts w:hint="default"/>
      </w:rPr>
    </w:lvl>
    <w:lvl w:ilvl="1" w:tplc="A7840A02">
      <w:start w:val="1"/>
      <w:numFmt w:val="bullet"/>
      <w:lvlText w:val=""/>
      <w:lvlJc w:val="left"/>
      <w:pPr>
        <w:ind w:left="567" w:hanging="283"/>
      </w:pPr>
      <w:rPr>
        <w:rFonts w:ascii="Symbol" w:hAnsi="Symbol" w:hint="default"/>
      </w:rPr>
    </w:lvl>
    <w:lvl w:ilvl="2" w:tplc="04090005">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3" w15:restartNumberingAfterBreak="0">
    <w:nsid w:val="703330FC"/>
    <w:multiLevelType w:val="hybridMultilevel"/>
    <w:tmpl w:val="051C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6"/>
  </w:num>
  <w:num w:numId="5">
    <w:abstractNumId w:val="4"/>
  </w:num>
  <w:num w:numId="6">
    <w:abstractNumId w:val="12"/>
  </w:num>
  <w:num w:numId="7">
    <w:abstractNumId w:val="8"/>
  </w:num>
  <w:num w:numId="8">
    <w:abstractNumId w:val="0"/>
  </w:num>
  <w:num w:numId="9">
    <w:abstractNumId w:val="2"/>
  </w:num>
  <w:num w:numId="10">
    <w:abstractNumId w:val="10"/>
  </w:num>
  <w:num w:numId="11">
    <w:abstractNumId w:val="1"/>
  </w:num>
  <w:num w:numId="12">
    <w:abstractNumId w:val="5"/>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45"/>
    <w:rsid w:val="0001290E"/>
    <w:rsid w:val="0001550E"/>
    <w:rsid w:val="000159DE"/>
    <w:rsid w:val="000366F3"/>
    <w:rsid w:val="000471C8"/>
    <w:rsid w:val="00051AFD"/>
    <w:rsid w:val="00055235"/>
    <w:rsid w:val="000925E5"/>
    <w:rsid w:val="000940D9"/>
    <w:rsid w:val="00095FB8"/>
    <w:rsid w:val="000A15F3"/>
    <w:rsid w:val="000A469C"/>
    <w:rsid w:val="000C2706"/>
    <w:rsid w:val="000F4E2D"/>
    <w:rsid w:val="001148BF"/>
    <w:rsid w:val="00152392"/>
    <w:rsid w:val="00194246"/>
    <w:rsid w:val="001C1C92"/>
    <w:rsid w:val="001F7B2C"/>
    <w:rsid w:val="00274510"/>
    <w:rsid w:val="002A4359"/>
    <w:rsid w:val="002A52B0"/>
    <w:rsid w:val="002A6E77"/>
    <w:rsid w:val="002B14ED"/>
    <w:rsid w:val="00300E45"/>
    <w:rsid w:val="00322898"/>
    <w:rsid w:val="00356F7D"/>
    <w:rsid w:val="00367C8D"/>
    <w:rsid w:val="00387A1A"/>
    <w:rsid w:val="00397465"/>
    <w:rsid w:val="003A67F0"/>
    <w:rsid w:val="003A73ED"/>
    <w:rsid w:val="003B4C29"/>
    <w:rsid w:val="003D3F40"/>
    <w:rsid w:val="003E6DD0"/>
    <w:rsid w:val="004568F8"/>
    <w:rsid w:val="0046256B"/>
    <w:rsid w:val="004725D1"/>
    <w:rsid w:val="0047280E"/>
    <w:rsid w:val="004B5DD7"/>
    <w:rsid w:val="004C044E"/>
    <w:rsid w:val="004E7450"/>
    <w:rsid w:val="00520115"/>
    <w:rsid w:val="00542AB9"/>
    <w:rsid w:val="0054608F"/>
    <w:rsid w:val="00564E7E"/>
    <w:rsid w:val="00582A13"/>
    <w:rsid w:val="005A61C0"/>
    <w:rsid w:val="005B0635"/>
    <w:rsid w:val="005D1881"/>
    <w:rsid w:val="005E6A1C"/>
    <w:rsid w:val="005F2D03"/>
    <w:rsid w:val="005F7189"/>
    <w:rsid w:val="0062345F"/>
    <w:rsid w:val="00624C9C"/>
    <w:rsid w:val="00624DC2"/>
    <w:rsid w:val="00632BFE"/>
    <w:rsid w:val="006569E2"/>
    <w:rsid w:val="00665F3B"/>
    <w:rsid w:val="00671367"/>
    <w:rsid w:val="006935E6"/>
    <w:rsid w:val="006E69E4"/>
    <w:rsid w:val="006F5C37"/>
    <w:rsid w:val="00707695"/>
    <w:rsid w:val="00715247"/>
    <w:rsid w:val="00722CB1"/>
    <w:rsid w:val="007274A1"/>
    <w:rsid w:val="007316E4"/>
    <w:rsid w:val="00735A4B"/>
    <w:rsid w:val="007630A0"/>
    <w:rsid w:val="007656C7"/>
    <w:rsid w:val="00770280"/>
    <w:rsid w:val="00773BA5"/>
    <w:rsid w:val="0080062C"/>
    <w:rsid w:val="00806298"/>
    <w:rsid w:val="008138B6"/>
    <w:rsid w:val="00844EAB"/>
    <w:rsid w:val="008A7EAA"/>
    <w:rsid w:val="008C0562"/>
    <w:rsid w:val="008E4759"/>
    <w:rsid w:val="009024E2"/>
    <w:rsid w:val="00907788"/>
    <w:rsid w:val="00974440"/>
    <w:rsid w:val="009872A9"/>
    <w:rsid w:val="009C1955"/>
    <w:rsid w:val="009D3CDE"/>
    <w:rsid w:val="00A01A51"/>
    <w:rsid w:val="00A576F0"/>
    <w:rsid w:val="00A83E3E"/>
    <w:rsid w:val="00A86E37"/>
    <w:rsid w:val="00A96EF2"/>
    <w:rsid w:val="00A9733C"/>
    <w:rsid w:val="00AC222C"/>
    <w:rsid w:val="00B10F75"/>
    <w:rsid w:val="00B1702A"/>
    <w:rsid w:val="00B23E83"/>
    <w:rsid w:val="00B6300B"/>
    <w:rsid w:val="00B84C8C"/>
    <w:rsid w:val="00B85BE6"/>
    <w:rsid w:val="00BB5235"/>
    <w:rsid w:val="00C100E7"/>
    <w:rsid w:val="00C470C4"/>
    <w:rsid w:val="00C47D3A"/>
    <w:rsid w:val="00C53249"/>
    <w:rsid w:val="00C57A73"/>
    <w:rsid w:val="00C75C52"/>
    <w:rsid w:val="00C91105"/>
    <w:rsid w:val="00CA7CF2"/>
    <w:rsid w:val="00CC615B"/>
    <w:rsid w:val="00CF5ED9"/>
    <w:rsid w:val="00D0715E"/>
    <w:rsid w:val="00D8689A"/>
    <w:rsid w:val="00DA0748"/>
    <w:rsid w:val="00DA6410"/>
    <w:rsid w:val="00DC072B"/>
    <w:rsid w:val="00DD0650"/>
    <w:rsid w:val="00DD12F8"/>
    <w:rsid w:val="00DE45AD"/>
    <w:rsid w:val="00E23FC3"/>
    <w:rsid w:val="00E257F3"/>
    <w:rsid w:val="00E67E9B"/>
    <w:rsid w:val="00E81392"/>
    <w:rsid w:val="00EA551B"/>
    <w:rsid w:val="00EB7105"/>
    <w:rsid w:val="00EE7142"/>
    <w:rsid w:val="00F208D7"/>
    <w:rsid w:val="00F4144D"/>
    <w:rsid w:val="00F446EB"/>
    <w:rsid w:val="00F8024C"/>
    <w:rsid w:val="00FA308C"/>
    <w:rsid w:val="00FC1E23"/>
    <w:rsid w:val="00FC3A97"/>
    <w:rsid w:val="00FC4CF3"/>
    <w:rsid w:val="00FD51B4"/>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95C9E"/>
  <w15:docId w15:val="{ADEE3281-29FF-4885-96FA-76F2141A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aliases w:val="List Paragraph1,List Paragraph11"/>
    <w:basedOn w:val="Normal"/>
    <w:uiPriority w:val="34"/>
    <w:qFormat/>
    <w:rsid w:val="006F5C37"/>
    <w:pPr>
      <w:ind w:left="720"/>
      <w:contextualSpacing/>
    </w:pPr>
  </w:style>
  <w:style w:type="paragraph" w:customStyle="1" w:styleId="Table-RowHeading">
    <w:name w:val="Table - Row Heading"/>
    <w:basedOn w:val="Normal"/>
    <w:rsid w:val="00A96EF2"/>
    <w:pPr>
      <w:widowControl w:val="0"/>
      <w:autoSpaceDE w:val="0"/>
      <w:autoSpaceDN w:val="0"/>
      <w:adjustRightInd w:val="0"/>
    </w:pPr>
    <w:rPr>
      <w:rFonts w:ascii="Arial" w:eastAsia="Times New Roman" w:hAnsi="Arial" w:cs="Arial"/>
      <w:color w:val="737277"/>
      <w:sz w:val="18"/>
      <w:szCs w:val="18"/>
      <w:lang w:val="en-US"/>
    </w:rPr>
  </w:style>
  <w:style w:type="paragraph" w:styleId="NoSpacing">
    <w:name w:val="No Spacing"/>
    <w:uiPriority w:val="1"/>
    <w:qFormat/>
    <w:rsid w:val="00152392"/>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564E7E"/>
    <w:pPr>
      <w:spacing w:before="60" w:after="120"/>
      <w:jc w:val="both"/>
    </w:pPr>
    <w:rPr>
      <w:rFonts w:eastAsia="Times New Roman" w:cs="Times New Roman"/>
      <w:color w:val="3B3C3C"/>
      <w:sz w:val="18"/>
      <w:szCs w:val="24"/>
    </w:rPr>
  </w:style>
  <w:style w:type="character" w:customStyle="1" w:styleId="FootnoteTextChar">
    <w:name w:val="Footnote Text Char"/>
    <w:basedOn w:val="DefaultParagraphFont"/>
    <w:link w:val="FootnoteText"/>
    <w:rsid w:val="00564E7E"/>
    <w:rPr>
      <w:rFonts w:eastAsia="Times New Roman" w:cs="Times New Roman"/>
      <w:color w:val="3B3C3C"/>
      <w:sz w:val="18"/>
      <w:szCs w:val="24"/>
    </w:rPr>
  </w:style>
  <w:style w:type="character" w:styleId="FootnoteReference">
    <w:name w:val="footnote reference"/>
    <w:basedOn w:val="DefaultParagraphFont"/>
    <w:rsid w:val="00564E7E"/>
    <w:rPr>
      <w:rFonts w:asciiTheme="minorHAnsi" w:hAnsiTheme="minorHAnsi"/>
      <w:sz w:val="18"/>
      <w:vertAlign w:val="superscript"/>
    </w:rPr>
  </w:style>
  <w:style w:type="paragraph" w:styleId="ListBullet">
    <w:name w:val="List Bullet"/>
    <w:basedOn w:val="Normal"/>
    <w:rsid w:val="00BB5235"/>
    <w:pPr>
      <w:spacing w:before="120" w:after="60"/>
    </w:pPr>
    <w:rPr>
      <w:rFonts w:eastAsia="Times New Roman" w:cs="Times New Roman"/>
      <w:color w:val="3B3C3C"/>
      <w:sz w:val="20"/>
      <w:szCs w:val="24"/>
    </w:rPr>
  </w:style>
  <w:style w:type="paragraph" w:customStyle="1" w:styleId="Table-Entry">
    <w:name w:val="Table - Entry"/>
    <w:basedOn w:val="Normal"/>
    <w:rsid w:val="00BB5235"/>
    <w:pPr>
      <w:widowControl w:val="0"/>
      <w:tabs>
        <w:tab w:val="left" w:pos="205"/>
      </w:tabs>
      <w:autoSpaceDE w:val="0"/>
      <w:autoSpaceDN w:val="0"/>
      <w:adjustRightInd w:val="0"/>
    </w:pPr>
    <w:rPr>
      <w:rFonts w:eastAsia="Times New Roman" w:cs="Arial"/>
      <w:color w:val="000000" w:themeColor="text1"/>
      <w:sz w:val="18"/>
      <w:szCs w:val="18"/>
      <w:lang w:val="en-US"/>
    </w:rPr>
  </w:style>
  <w:style w:type="paragraph" w:customStyle="1" w:styleId="Default">
    <w:name w:val="Default"/>
    <w:rsid w:val="00C9110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3.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4.xml><?xml version="1.0" encoding="utf-8"?>
<ds:datastoreItem xmlns:ds="http://schemas.openxmlformats.org/officeDocument/2006/customXml" ds:itemID="{D57B6D12-B58A-4479-9E2C-BA2596EFC98A}">
  <ds:schemaRefs>
    <ds:schemaRef ds:uri="http://purl.org/dc/dcmitype/"/>
    <ds:schemaRef ds:uri="http://schemas.microsoft.com/sharepoint/v4"/>
    <ds:schemaRef ds:uri="http://schemas.microsoft.com/office/2006/documentManagement/types"/>
    <ds:schemaRef ds:uri="http://schemas.microsoft.com/office/2006/metadata/properties"/>
    <ds:schemaRef ds:uri="2fb8e541-c96b-4620-b82c-f319e82f9fb1"/>
    <ds:schemaRef ds:uri="b18ed191-9664-4865-9546-49bc3f5dd491"/>
    <ds:schemaRef ds:uri="http://schemas.microsoft.com/Sharepoint/v3"/>
    <ds:schemaRef ds:uri="http://schemas.microsoft.com/office/infopath/2007/PartnerControls"/>
    <ds:schemaRef ds:uri="http://purl.org/dc/terms/"/>
    <ds:schemaRef ds:uri="http://schemas.openxmlformats.org/package/2006/metadata/core-properties"/>
    <ds:schemaRef ds:uri="d2d43896-245d-412b-9865-a0e2354e9942"/>
    <ds:schemaRef ds:uri="http://www.w3.org/XML/1998/namespace"/>
    <ds:schemaRef ds:uri="http://purl.org/dc/elements/1.1/"/>
  </ds:schemaRefs>
</ds:datastoreItem>
</file>

<file path=customXml/itemProps5.xml><?xml version="1.0" encoding="utf-8"?>
<ds:datastoreItem xmlns:ds="http://schemas.openxmlformats.org/officeDocument/2006/customXml" ds:itemID="{9EE506D3-EFFC-493A-B3D9-D7644942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creator>Willimott, Andrew G</dc:creator>
  <cp:lastModifiedBy>Peters, Greg J</cp:lastModifiedBy>
  <cp:revision>6</cp:revision>
  <cp:lastPrinted>2018-03-04T23:36:00Z</cp:lastPrinted>
  <dcterms:created xsi:type="dcterms:W3CDTF">2018-02-13T22:33:00Z</dcterms:created>
  <dcterms:modified xsi:type="dcterms:W3CDTF">2018-03-05T04:00:00Z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2017-03-29T09:14:22.4664949+11:00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